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880" w:firstLineChars="200"/>
        <w:jc w:val="center"/>
        <w:textAlignment w:val="auto"/>
        <w:rPr>
          <w:rFonts w:hint="eastAsia" w:ascii="宋体" w:hAnsi="宋体" w:eastAsia="方正小标宋_GBK" w:cs="方正小标宋_GBK"/>
          <w:b w:val="0"/>
          <w:bCs/>
          <w:sz w:val="44"/>
          <w:szCs w:val="44"/>
        </w:rPr>
      </w:pPr>
      <w:r>
        <w:rPr>
          <w:rStyle w:val="14"/>
          <w:rFonts w:hint="eastAsia" w:ascii="宋体" w:hAnsi="宋体" w:eastAsia="方正小标宋_GBK" w:cs="方正小标宋_GBK"/>
          <w:b w:val="0"/>
          <w:bCs/>
          <w:sz w:val="44"/>
          <w:szCs w:val="44"/>
          <w:shd w:val="clear" w:fill="FFFFFF"/>
        </w:rPr>
        <w:t>重庆市江津区科学技术局（本级）</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880" w:firstLineChars="200"/>
        <w:jc w:val="center"/>
        <w:textAlignment w:val="auto"/>
        <w:rPr>
          <w:rStyle w:val="14"/>
          <w:rFonts w:hint="eastAsia" w:ascii="宋体" w:hAnsi="宋体" w:eastAsia="方正小标宋_GBK" w:cs="方正小标宋_GBK"/>
          <w:b w:val="0"/>
          <w:bCs/>
          <w:sz w:val="44"/>
          <w:szCs w:val="44"/>
          <w:shd w:val="clear" w:fill="FFFFFF"/>
        </w:rPr>
      </w:pPr>
      <w:r>
        <w:rPr>
          <w:rStyle w:val="14"/>
          <w:rFonts w:hint="eastAsia" w:ascii="宋体" w:hAnsi="宋体" w:eastAsia="方正小标宋_GBK" w:cs="方正小标宋_GBK"/>
          <w:b w:val="0"/>
          <w:bCs/>
          <w:sz w:val="44"/>
          <w:szCs w:val="44"/>
          <w:shd w:val="clear" w:fill="FFFFFF"/>
        </w:rPr>
        <w:t>2022年度部门决算</w:t>
      </w:r>
      <w:r>
        <w:rPr>
          <w:rStyle w:val="14"/>
          <w:rFonts w:hint="eastAsia" w:ascii="宋体" w:hAnsi="宋体" w:eastAsia="方正小标宋_GBK" w:cs="方正小标宋_GBK"/>
          <w:b w:val="0"/>
          <w:bCs/>
          <w:sz w:val="44"/>
          <w:szCs w:val="44"/>
          <w:shd w:val="clear" w:fill="FFFFFF"/>
          <w:lang w:eastAsia="zh-CN"/>
        </w:rPr>
        <w:t>公开</w:t>
      </w:r>
      <w:r>
        <w:rPr>
          <w:rStyle w:val="14"/>
          <w:rFonts w:hint="eastAsia" w:ascii="宋体" w:hAnsi="宋体" w:eastAsia="方正小标宋_GBK" w:cs="方正小标宋_GBK"/>
          <w:b w:val="0"/>
          <w:bCs/>
          <w:sz w:val="44"/>
          <w:szCs w:val="44"/>
          <w:shd w:val="clear" w:fill="FFFFFF"/>
        </w:rPr>
        <w:t>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880" w:firstLineChars="200"/>
        <w:jc w:val="center"/>
        <w:textAlignment w:val="auto"/>
        <w:rPr>
          <w:rStyle w:val="14"/>
          <w:rFonts w:hint="eastAsia" w:ascii="宋体" w:hAnsi="宋体" w:eastAsia="方正小标宋_GBK" w:cs="方正小标宋_GBK"/>
          <w:b w:val="0"/>
          <w:bCs/>
          <w:sz w:val="44"/>
          <w:szCs w:val="44"/>
          <w:shd w:val="clear" w:fill="FFFFFF"/>
        </w:rPr>
      </w:pP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黑体_GBK" w:cs="方正黑体_GBK"/>
          <w:b w:val="0"/>
          <w:bCs/>
          <w:sz w:val="32"/>
          <w:szCs w:val="32"/>
        </w:rPr>
      </w:pPr>
      <w:r>
        <w:rPr>
          <w:rStyle w:val="14"/>
          <w:rFonts w:hint="eastAsia" w:ascii="宋体" w:hAnsi="宋体" w:eastAsia="方正黑体_GBK" w:cs="方正黑体_GBK"/>
          <w:b w:val="0"/>
          <w:bCs/>
          <w:sz w:val="32"/>
          <w:szCs w:val="32"/>
          <w:shd w:val="clear" w:fill="FFFFFF"/>
        </w:rPr>
        <w:t>一、部门基本情况</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4"/>
          <w:rFonts w:hint="eastAsia" w:ascii="宋体" w:hAnsi="宋体" w:eastAsia="方正楷体_GBK" w:cs="方正楷体_GBK"/>
          <w:b w:val="0"/>
          <w:bCs/>
          <w:sz w:val="32"/>
          <w:szCs w:val="32"/>
          <w:shd w:val="clear" w:fill="FFFFFF"/>
        </w:rPr>
        <w:t>（一）职能职责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1.拟订创新驱动发展战略方针以及科技发展、引进国外智力规划和政策并组织实施。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2.统筹科技创新体系建设和科技体制改革，会同有关部门建立健全技术创新激励机制。推动企业科技创新能力建设，承担推进科技军民融合发展相关工作，协调开展重大科技决策咨询。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3.会同有关部门提出优化配置科技资源的政策措施建议，推动多元化科技投入体系建设和科技金融结合。协调管理区级财政科技计划（专项、基金等）并监督实施。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4.负责编制区级科技项目规划并监督实施，统筹协调关键共性技术、前沿引领技术、现代工程技术、颠覆性技术研发和创新，牵头组织实施重大技术攻关和成果应用示范。会同有关部门建立科技项目协调、评估、监管机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5.组织拟订高新技术发展及产业化规划、政策和措施并组织实施。组织开展重点领域技术发展需求分析，提出重大任务并监督实施。</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6.拟订科技促进农业农村和社会发展规划、政策和措施并组织实施。负责科技精准扶贫、科技特派员管理、科技下乡工作。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7.牵头技术转移体系建设，拟订科技成果转移转化和促进政产学研结合的相关政策措施并监督实施。指导科技服务业、技术市场等科技中介组织发展。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8.会同有关部门推动区域政产学研和创新创业工作，指导众创空间、科技孵化器、科技创新中心等的建设。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9.统筹区域科技创新体系建设，指导区域创新发展，科技资源的培育、引进、布局和协同创新能力建设，推动科技园区建设。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10.负责科技监督评价体系建设和相关科技评估管理，负责科技评价机制改革，统筹科研诚信建设。组织实施创新调查和科技报告制度，承担科技保密工作。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11.拟订科技对外交流与创新能力开放合作的规划、政策和措施，组织开展国内外科技合作与科技人才交流。指导相关部门和企业对外科技合作与科技人才交流工作。负责引进国外智力工作。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12.会同有关部门拟订科技人才队伍建设规划和政策，建立健全科技人才评价和激励机制，组织实施科技人才计划，推动高端科技创新人才队伍建设。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shd w:val="clear" w:fill="FFFFFF"/>
        </w:rPr>
      </w:pPr>
      <w:r>
        <w:rPr>
          <w:rFonts w:hint="eastAsia" w:ascii="宋体" w:hAnsi="宋体" w:eastAsia="方正仿宋_GBK" w:cs="方正仿宋_GBK"/>
          <w:b w:val="0"/>
          <w:bCs/>
          <w:i w:val="0"/>
          <w:iCs w:val="0"/>
          <w:caps w:val="0"/>
          <w:spacing w:val="0"/>
          <w:sz w:val="32"/>
          <w:szCs w:val="32"/>
          <w:shd w:val="clear" w:fill="FFFFFF"/>
        </w:rPr>
        <w:t>13.拟订科学普及和科学传播规划、政策并组织实施。推动科普基地建设。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shd w:val="clear" w:fill="FFFFFF"/>
        </w:rPr>
      </w:pPr>
      <w:r>
        <w:rPr>
          <w:rFonts w:hint="eastAsia" w:ascii="宋体" w:hAnsi="宋体" w:eastAsia="方正仿宋_GBK" w:cs="方正仿宋_GBK"/>
          <w:b w:val="0"/>
          <w:bCs/>
          <w:i w:val="0"/>
          <w:iCs w:val="0"/>
          <w:caps w:val="0"/>
          <w:spacing w:val="0"/>
          <w:sz w:val="32"/>
          <w:szCs w:val="32"/>
          <w:shd w:val="clear" w:fill="FFFFFF"/>
        </w:rPr>
        <w:t>14.组织编制本行政区域的防震减灾规划，负责地震观测环境审查、震情监测、地震宏观异常处置、防震减灾知识宣传教育和群测群防体系建设。</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15.承担法律、法规、规章、政策规定的应急、安全、稳定、生态环境保护等相关工作职责。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16.完成区委、区政府交办的其他任务。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17.职能转变。围绕实施科教兴区、人才强区、创新驱动发展战略，加强、优化、转变政府科技管理和服务职能，完善科技创新制度和组织体系，加强宏观管理和统筹协调，减少微观管理和具体审批事项，加强事中事后监管和科技诚信建设。从研发管理向创新服务转变，深入推进科技计划管理改革。按照国家要求推进政府部门不直接管理具体科研项目，委托专业机构开展项目受理、评审、立项、过程管理、验收等具体工作。进一步改进科技人才评价机制，建立健全以创新能力、质量、贡献、绩效为导向的科技人才评价体系和激励政策，统筹我区科技人才队伍建设和引进国外智力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0" w:right="0" w:firstLine="640" w:firstLineChars="200"/>
        <w:jc w:val="both"/>
        <w:textAlignment w:val="auto"/>
        <w:rPr>
          <w:rFonts w:hint="eastAsia" w:ascii="宋体" w:hAnsi="宋体" w:eastAsia="方正仿宋_GBK" w:cs="方正仿宋_GBK"/>
          <w:b w:val="0"/>
          <w:bCs/>
          <w:i w:val="0"/>
          <w:iCs w:val="0"/>
          <w:caps w:val="0"/>
          <w:spacing w:val="0"/>
          <w:sz w:val="32"/>
          <w:szCs w:val="32"/>
        </w:rPr>
      </w:pPr>
      <w:r>
        <w:rPr>
          <w:rFonts w:hint="eastAsia" w:ascii="宋体" w:hAnsi="宋体" w:eastAsia="方正仿宋_GBK" w:cs="方正仿宋_GBK"/>
          <w:b w:val="0"/>
          <w:bCs/>
          <w:i w:val="0"/>
          <w:iCs w:val="0"/>
          <w:caps w:val="0"/>
          <w:spacing w:val="0"/>
          <w:sz w:val="32"/>
          <w:szCs w:val="32"/>
          <w:shd w:val="clear" w:fill="FFFFFF"/>
        </w:rPr>
        <w:t>18.与重庆市江津区人力资源和社会保障局有关外国人来津工作许可职责分工，依据《中央编办关于外国人来华工作许可职责分工的通知》（中央编办发﹝2018﹞97号）规定执行。</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（二）机构设置</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i w:val="0"/>
          <w:iCs w:val="0"/>
          <w:caps w:val="0"/>
          <w:spacing w:val="0"/>
          <w:sz w:val="32"/>
          <w:szCs w:val="32"/>
          <w:shd w:val="clear" w:fill="FFFFFF"/>
        </w:rPr>
      </w:pPr>
      <w:r>
        <w:rPr>
          <w:rFonts w:hint="eastAsia" w:ascii="宋体" w:hAnsi="宋体" w:eastAsia="方正仿宋_GBK" w:cs="方正仿宋_GBK"/>
          <w:b w:val="0"/>
          <w:bCs/>
          <w:i w:val="0"/>
          <w:iCs w:val="0"/>
          <w:caps w:val="0"/>
          <w:spacing w:val="0"/>
          <w:sz w:val="32"/>
          <w:szCs w:val="32"/>
          <w:shd w:val="clear" w:fill="FFFFFF"/>
        </w:rPr>
        <w:t>内设机构：办公室、规划发展科、产业平台科、创新服务科。下属事业单位：重庆市江津区科技创新中心、重庆市江津区防震减灾中心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（三）单位构成</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i w:val="0"/>
          <w:iCs w:val="0"/>
          <w:caps w:val="0"/>
          <w:spacing w:val="0"/>
          <w:sz w:val="32"/>
          <w:szCs w:val="32"/>
        </w:rPr>
        <w:t>从预算单位构成看，本部门下属两个事业单位（重庆市江津区科技创新中心、重庆市江津区防震减灾中心）进行独立的会计核算，其财务收支、预决算情况均</w:t>
      </w:r>
      <w:r>
        <w:rPr>
          <w:rFonts w:hint="eastAsia" w:ascii="宋体" w:hAnsi="宋体" w:eastAsia="方正仿宋_GBK" w:cs="方正仿宋_GBK"/>
          <w:b w:val="0"/>
          <w:bCs/>
          <w:i w:val="0"/>
          <w:iCs w:val="0"/>
          <w:caps w:val="0"/>
          <w:spacing w:val="0"/>
          <w:sz w:val="32"/>
          <w:szCs w:val="32"/>
          <w:lang w:eastAsia="zh-CN"/>
        </w:rPr>
        <w:t>未</w:t>
      </w:r>
      <w:r>
        <w:rPr>
          <w:rFonts w:hint="eastAsia" w:ascii="宋体" w:hAnsi="宋体" w:eastAsia="方正仿宋_GBK" w:cs="方正仿宋_GBK"/>
          <w:b w:val="0"/>
          <w:bCs/>
          <w:i w:val="0"/>
          <w:iCs w:val="0"/>
          <w:caps w:val="0"/>
          <w:spacing w:val="0"/>
          <w:sz w:val="32"/>
          <w:szCs w:val="32"/>
        </w:rPr>
        <w:t>纳入本部门202</w:t>
      </w:r>
      <w:r>
        <w:rPr>
          <w:rFonts w:hint="eastAsia" w:ascii="宋体" w:hAnsi="宋体" w:eastAsia="方正仿宋_GBK" w:cs="方正仿宋_GBK"/>
          <w:b w:val="0"/>
          <w:bCs/>
          <w:i w:val="0"/>
          <w:iCs w:val="0"/>
          <w:caps w:val="0"/>
          <w:spacing w:val="0"/>
          <w:sz w:val="32"/>
          <w:szCs w:val="32"/>
          <w:lang w:val="en-US" w:eastAsia="zh-CN"/>
        </w:rPr>
        <w:t>2</w:t>
      </w:r>
      <w:r>
        <w:rPr>
          <w:rFonts w:hint="eastAsia" w:ascii="宋体" w:hAnsi="宋体" w:eastAsia="方正仿宋_GBK" w:cs="方正仿宋_GBK"/>
          <w:b w:val="0"/>
          <w:bCs/>
          <w:i w:val="0"/>
          <w:iCs w:val="0"/>
          <w:caps w:val="0"/>
          <w:spacing w:val="0"/>
          <w:sz w:val="32"/>
          <w:szCs w:val="32"/>
        </w:rPr>
        <w:t>年度决算编制。</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黑体_GBK" w:cs="方正黑体_GBK"/>
          <w:b w:val="0"/>
          <w:bCs/>
          <w:sz w:val="32"/>
          <w:szCs w:val="32"/>
        </w:rPr>
      </w:pPr>
      <w:r>
        <w:rPr>
          <w:rStyle w:val="14"/>
          <w:rFonts w:hint="eastAsia" w:ascii="宋体" w:hAnsi="宋体" w:eastAsia="方正黑体_GBK" w:cs="方正黑体_GBK"/>
          <w:b w:val="0"/>
          <w:bCs/>
          <w:sz w:val="32"/>
          <w:szCs w:val="32"/>
          <w:shd w:val="clear" w:fill="FFFFFF"/>
        </w:rPr>
        <w:t>二、部门决算情况说明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4"/>
          <w:rFonts w:hint="eastAsia" w:ascii="宋体" w:hAnsi="宋体" w:eastAsia="方正楷体_GBK" w:cs="方正楷体_GBK"/>
          <w:b w:val="0"/>
          <w:bCs/>
          <w:sz w:val="32"/>
          <w:szCs w:val="32"/>
          <w:shd w:val="clear" w:fill="FFFFFF"/>
        </w:rPr>
        <w:t>（一）收入支出决算总体情况说明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color w:val="auto"/>
          <w:sz w:val="32"/>
          <w:szCs w:val="32"/>
          <w:lang w:eastAsia="zh-CN"/>
        </w:rPr>
      </w:pPr>
      <w:r>
        <w:rPr>
          <w:rStyle w:val="14"/>
          <w:rFonts w:hint="eastAsia" w:ascii="宋体" w:hAnsi="宋体" w:eastAsia="方正仿宋_GBK" w:cs="方正仿宋_GBK"/>
          <w:b w:val="0"/>
          <w:bCs/>
          <w:sz w:val="32"/>
          <w:szCs w:val="32"/>
          <w:shd w:val="clear" w:fill="FFFFFF"/>
        </w:rPr>
        <w:t>1.总体情况。</w:t>
      </w:r>
      <w:r>
        <w:rPr>
          <w:rFonts w:hint="eastAsia" w:ascii="宋体" w:hAnsi="宋体" w:eastAsia="方正仿宋_GBK" w:cs="方正仿宋_GBK"/>
          <w:b w:val="0"/>
          <w:bCs/>
          <w:sz w:val="32"/>
          <w:szCs w:val="32"/>
          <w:shd w:val="clear" w:fill="FFFFFF"/>
        </w:rPr>
        <w:t>2022年度收入总计563.47万元，支出总计563.47万元。收支较上年决算数减少10,824.29万元,下降95.1%，主要原因</w:t>
      </w:r>
      <w:r>
        <w:rPr>
          <w:rFonts w:hint="eastAsia" w:ascii="宋体" w:hAnsi="宋体" w:eastAsia="方正仿宋_GBK" w:cs="方正仿宋_GBK"/>
          <w:b w:val="0"/>
          <w:bCs/>
          <w:sz w:val="32"/>
          <w:szCs w:val="32"/>
          <w:shd w:val="clear" w:fill="FFFFFF"/>
          <w:lang w:eastAsia="zh-CN"/>
        </w:rPr>
        <w:t>一是</w:t>
      </w:r>
      <w:r>
        <w:rPr>
          <w:rFonts w:hint="eastAsia" w:ascii="宋体" w:hAnsi="宋体" w:eastAsia="方正仿宋_GBK" w:cs="方正仿宋_GBK"/>
          <w:b w:val="0"/>
          <w:bCs/>
          <w:color w:val="auto"/>
          <w:sz w:val="32"/>
          <w:szCs w:val="32"/>
          <w:shd w:val="clear" w:fill="FFFFFF"/>
          <w:lang w:eastAsia="zh-CN"/>
        </w:rPr>
        <w:t>上年度</w:t>
      </w:r>
      <w:r>
        <w:rPr>
          <w:rFonts w:hint="eastAsia" w:ascii="宋体" w:hAnsi="宋体" w:eastAsia="方正仿宋_GBK" w:cs="方正仿宋_GBK"/>
          <w:b w:val="0"/>
          <w:bCs/>
          <w:i w:val="0"/>
          <w:iCs w:val="0"/>
          <w:caps w:val="0"/>
          <w:color w:val="auto"/>
          <w:spacing w:val="0"/>
          <w:sz w:val="32"/>
          <w:szCs w:val="32"/>
        </w:rPr>
        <w:t>追加了</w:t>
      </w:r>
      <w:r>
        <w:rPr>
          <w:rFonts w:hint="eastAsia" w:ascii="宋体" w:hAnsi="宋体" w:eastAsia="方正仿宋_GBK" w:cs="方正仿宋_GBK"/>
          <w:b w:val="0"/>
          <w:bCs/>
          <w:i w:val="0"/>
          <w:iCs w:val="0"/>
          <w:caps w:val="0"/>
          <w:color w:val="auto"/>
          <w:spacing w:val="0"/>
          <w:sz w:val="32"/>
          <w:szCs w:val="32"/>
          <w:lang w:val="en-US" w:eastAsia="zh-CN"/>
        </w:rPr>
        <w:t>2019年度创新激励扶持补助3578.45万元及</w:t>
      </w:r>
      <w:r>
        <w:rPr>
          <w:rFonts w:hint="eastAsia" w:ascii="宋体" w:hAnsi="宋体" w:eastAsia="方正仿宋_GBK" w:cs="方正仿宋_GBK"/>
          <w:b w:val="0"/>
          <w:bCs/>
          <w:i w:val="0"/>
          <w:iCs w:val="0"/>
          <w:caps w:val="0"/>
          <w:color w:val="auto"/>
          <w:spacing w:val="0"/>
          <w:sz w:val="32"/>
          <w:szCs w:val="32"/>
        </w:rPr>
        <w:t>以前年度垫付的创新激励扶持资金5519.7万元</w:t>
      </w:r>
      <w:r>
        <w:rPr>
          <w:rFonts w:hint="eastAsia" w:ascii="宋体" w:hAnsi="宋体" w:eastAsia="方正仿宋_GBK" w:cs="方正仿宋_GBK"/>
          <w:b w:val="0"/>
          <w:bCs/>
          <w:i w:val="0"/>
          <w:iCs w:val="0"/>
          <w:caps w:val="0"/>
          <w:color w:val="auto"/>
          <w:spacing w:val="0"/>
          <w:sz w:val="32"/>
          <w:szCs w:val="32"/>
          <w:lang w:eastAsia="zh-CN"/>
        </w:rPr>
        <w:t>；二是追加了</w:t>
      </w:r>
      <w:r>
        <w:rPr>
          <w:rFonts w:hint="eastAsia" w:ascii="宋体" w:hAnsi="宋体" w:eastAsia="方正仿宋_GBK" w:cs="方正仿宋_GBK"/>
          <w:b w:val="0"/>
          <w:bCs/>
          <w:i w:val="0"/>
          <w:iCs w:val="0"/>
          <w:caps w:val="0"/>
          <w:color w:val="auto"/>
          <w:spacing w:val="0"/>
          <w:sz w:val="32"/>
          <w:szCs w:val="32"/>
        </w:rPr>
        <w:t>科技型企业贷款风险补偿金1200万元</w:t>
      </w:r>
      <w:r>
        <w:rPr>
          <w:rFonts w:hint="eastAsia" w:ascii="宋体" w:hAnsi="宋体" w:eastAsia="方正仿宋_GBK" w:cs="方正仿宋_GBK"/>
          <w:b w:val="0"/>
          <w:bCs/>
          <w:i w:val="0"/>
          <w:iCs w:val="0"/>
          <w:caps w:val="0"/>
          <w:color w:val="auto"/>
          <w:spacing w:val="0"/>
          <w:sz w:val="32"/>
          <w:szCs w:val="32"/>
          <w:lang w:eastAsia="zh-CN"/>
        </w:rPr>
        <w:t>；三是本年度下属两个事业单位独立核算。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color w:val="auto"/>
          <w:sz w:val="32"/>
          <w:szCs w:val="32"/>
          <w:shd w:val="clear" w:fill="FFFFFF"/>
          <w:lang w:val="en-US" w:eastAsia="zh-CN"/>
        </w:rPr>
      </w:pPr>
      <w:r>
        <w:rPr>
          <w:rStyle w:val="14"/>
          <w:rFonts w:hint="eastAsia" w:ascii="宋体" w:hAnsi="宋体" w:eastAsia="方正仿宋_GBK" w:cs="方正仿宋_GBK"/>
          <w:b w:val="0"/>
          <w:bCs/>
          <w:sz w:val="32"/>
          <w:szCs w:val="32"/>
          <w:shd w:val="clear" w:fill="FFFFFF"/>
        </w:rPr>
        <w:t>2.收入情况。</w:t>
      </w:r>
      <w:r>
        <w:rPr>
          <w:rFonts w:hint="eastAsia" w:ascii="宋体" w:hAnsi="宋体" w:eastAsia="方正仿宋_GBK" w:cs="方正仿宋_GBK"/>
          <w:b w:val="0"/>
          <w:bCs/>
          <w:sz w:val="32"/>
          <w:szCs w:val="32"/>
          <w:shd w:val="clear" w:fill="FFFFFF"/>
        </w:rPr>
        <w:t>2022年度收入合计563.47万元，较上年决算数减少10,824.29万元，下降95.1%，主要原因是</w:t>
      </w:r>
      <w:r>
        <w:rPr>
          <w:rFonts w:hint="eastAsia" w:ascii="宋体" w:hAnsi="宋体" w:eastAsia="方正仿宋_GBK" w:cs="方正仿宋_GBK"/>
          <w:b w:val="0"/>
          <w:bCs/>
          <w:sz w:val="32"/>
          <w:szCs w:val="32"/>
          <w:shd w:val="clear" w:fill="FFFFFF"/>
          <w:lang w:eastAsia="zh-CN"/>
        </w:rPr>
        <w:t>一是</w:t>
      </w:r>
      <w:r>
        <w:rPr>
          <w:rFonts w:hint="eastAsia" w:ascii="宋体" w:hAnsi="宋体" w:eastAsia="方正仿宋_GBK" w:cs="方正仿宋_GBK"/>
          <w:b w:val="0"/>
          <w:bCs/>
          <w:color w:val="auto"/>
          <w:sz w:val="32"/>
          <w:szCs w:val="32"/>
          <w:shd w:val="clear" w:fill="FFFFFF"/>
          <w:lang w:eastAsia="zh-CN"/>
        </w:rPr>
        <w:t>上年度</w:t>
      </w:r>
      <w:r>
        <w:rPr>
          <w:rFonts w:hint="eastAsia" w:ascii="宋体" w:hAnsi="宋体" w:eastAsia="方正仿宋_GBK" w:cs="方正仿宋_GBK"/>
          <w:b w:val="0"/>
          <w:bCs/>
          <w:i w:val="0"/>
          <w:iCs w:val="0"/>
          <w:caps w:val="0"/>
          <w:color w:val="auto"/>
          <w:spacing w:val="0"/>
          <w:sz w:val="32"/>
          <w:szCs w:val="32"/>
        </w:rPr>
        <w:t>追加了</w:t>
      </w:r>
      <w:r>
        <w:rPr>
          <w:rFonts w:hint="eastAsia" w:ascii="宋体" w:hAnsi="宋体" w:eastAsia="方正仿宋_GBK" w:cs="方正仿宋_GBK"/>
          <w:b w:val="0"/>
          <w:bCs/>
          <w:i w:val="0"/>
          <w:iCs w:val="0"/>
          <w:caps w:val="0"/>
          <w:color w:val="auto"/>
          <w:spacing w:val="0"/>
          <w:sz w:val="32"/>
          <w:szCs w:val="32"/>
          <w:lang w:val="en-US" w:eastAsia="zh-CN"/>
        </w:rPr>
        <w:t>2019年度创新激励扶持补助3578.45万元及</w:t>
      </w:r>
      <w:r>
        <w:rPr>
          <w:rFonts w:hint="eastAsia" w:ascii="宋体" w:hAnsi="宋体" w:eastAsia="方正仿宋_GBK" w:cs="方正仿宋_GBK"/>
          <w:b w:val="0"/>
          <w:bCs/>
          <w:i w:val="0"/>
          <w:iCs w:val="0"/>
          <w:caps w:val="0"/>
          <w:color w:val="auto"/>
          <w:spacing w:val="0"/>
          <w:sz w:val="32"/>
          <w:szCs w:val="32"/>
        </w:rPr>
        <w:t>以前年度垫付的创新激励扶持资金5519.7万元</w:t>
      </w:r>
      <w:r>
        <w:rPr>
          <w:rFonts w:hint="eastAsia" w:ascii="宋体" w:hAnsi="宋体" w:eastAsia="方正仿宋_GBK" w:cs="方正仿宋_GBK"/>
          <w:b w:val="0"/>
          <w:bCs/>
          <w:i w:val="0"/>
          <w:iCs w:val="0"/>
          <w:caps w:val="0"/>
          <w:color w:val="auto"/>
          <w:spacing w:val="0"/>
          <w:sz w:val="32"/>
          <w:szCs w:val="32"/>
          <w:lang w:eastAsia="zh-CN"/>
        </w:rPr>
        <w:t>；二是追加了</w:t>
      </w:r>
      <w:r>
        <w:rPr>
          <w:rFonts w:hint="eastAsia" w:ascii="宋体" w:hAnsi="宋体" w:eastAsia="方正仿宋_GBK" w:cs="方正仿宋_GBK"/>
          <w:b w:val="0"/>
          <w:bCs/>
          <w:i w:val="0"/>
          <w:iCs w:val="0"/>
          <w:caps w:val="0"/>
          <w:color w:val="auto"/>
          <w:spacing w:val="0"/>
          <w:sz w:val="32"/>
          <w:szCs w:val="32"/>
        </w:rPr>
        <w:t>科技型企业贷款风险补偿金1200万元</w:t>
      </w:r>
      <w:r>
        <w:rPr>
          <w:rFonts w:hint="eastAsia" w:ascii="宋体" w:hAnsi="宋体" w:eastAsia="方正仿宋_GBK" w:cs="方正仿宋_GBK"/>
          <w:b w:val="0"/>
          <w:bCs/>
          <w:i w:val="0"/>
          <w:iCs w:val="0"/>
          <w:caps w:val="0"/>
          <w:color w:val="auto"/>
          <w:spacing w:val="0"/>
          <w:sz w:val="32"/>
          <w:szCs w:val="32"/>
          <w:lang w:eastAsia="zh-CN"/>
        </w:rPr>
        <w:t>；三是本年度下属两个事业单位独立核算。</w:t>
      </w:r>
      <w:r>
        <w:rPr>
          <w:rFonts w:hint="eastAsia" w:ascii="宋体" w:hAnsi="宋体" w:eastAsia="方正仿宋_GBK" w:cs="方正仿宋_GBK"/>
          <w:b w:val="0"/>
          <w:bCs/>
          <w:color w:val="auto"/>
          <w:sz w:val="32"/>
          <w:szCs w:val="32"/>
          <w:shd w:val="clear" w:fill="FFFFFF"/>
        </w:rPr>
        <w:t>其中：财政拨款收入563.47万元，占100%</w:t>
      </w:r>
      <w:r>
        <w:rPr>
          <w:rFonts w:hint="eastAsia" w:ascii="宋体" w:hAnsi="宋体" w:eastAsia="方正仿宋_GBK" w:cs="方正仿宋_GBK"/>
          <w:b w:val="0"/>
          <w:bCs/>
          <w:color w:val="auto"/>
          <w:sz w:val="32"/>
          <w:szCs w:val="32"/>
          <w:shd w:val="clear" w:fill="FFFFFF"/>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shd w:val="clear" w:fill="FFFFFF"/>
        </w:rPr>
      </w:pPr>
      <w:r>
        <w:rPr>
          <w:rStyle w:val="14"/>
          <w:rFonts w:hint="eastAsia" w:ascii="宋体" w:hAnsi="宋体" w:eastAsia="方正仿宋_GBK" w:cs="方正仿宋_GBK"/>
          <w:b w:val="0"/>
          <w:bCs/>
          <w:sz w:val="32"/>
          <w:szCs w:val="32"/>
          <w:shd w:val="clear" w:fill="FFFFFF"/>
        </w:rPr>
        <w:t>3.支出情况。</w:t>
      </w:r>
      <w:r>
        <w:rPr>
          <w:rFonts w:hint="eastAsia" w:ascii="宋体" w:hAnsi="宋体" w:eastAsia="方正仿宋_GBK" w:cs="方正仿宋_GBK"/>
          <w:b w:val="0"/>
          <w:bCs/>
          <w:sz w:val="32"/>
          <w:szCs w:val="32"/>
          <w:shd w:val="clear" w:fill="FFFFFF"/>
        </w:rPr>
        <w:t>2022年度支出合计563.47万元，较上年决算减少10,824.29万元，下降95.1%，主要原因</w:t>
      </w:r>
      <w:r>
        <w:rPr>
          <w:rFonts w:hint="eastAsia" w:ascii="宋体" w:hAnsi="宋体" w:eastAsia="方正仿宋_GBK" w:cs="方正仿宋_GBK"/>
          <w:b w:val="0"/>
          <w:bCs/>
          <w:sz w:val="32"/>
          <w:szCs w:val="32"/>
          <w:shd w:val="clear" w:fill="FFFFFF"/>
          <w:lang w:eastAsia="zh-CN"/>
        </w:rPr>
        <w:t>一是</w:t>
      </w:r>
      <w:r>
        <w:rPr>
          <w:rFonts w:hint="eastAsia" w:ascii="宋体" w:hAnsi="宋体" w:eastAsia="方正仿宋_GBK" w:cs="方正仿宋_GBK"/>
          <w:b w:val="0"/>
          <w:bCs/>
          <w:color w:val="auto"/>
          <w:sz w:val="32"/>
          <w:szCs w:val="32"/>
          <w:shd w:val="clear" w:fill="FFFFFF"/>
          <w:lang w:eastAsia="zh-CN"/>
        </w:rPr>
        <w:t>上年度</w:t>
      </w:r>
      <w:r>
        <w:rPr>
          <w:rFonts w:hint="eastAsia" w:ascii="宋体" w:hAnsi="宋体" w:eastAsia="方正仿宋_GBK" w:cs="方正仿宋_GBK"/>
          <w:b w:val="0"/>
          <w:bCs/>
          <w:i w:val="0"/>
          <w:iCs w:val="0"/>
          <w:caps w:val="0"/>
          <w:color w:val="auto"/>
          <w:spacing w:val="0"/>
          <w:sz w:val="32"/>
          <w:szCs w:val="32"/>
        </w:rPr>
        <w:t>追加了</w:t>
      </w:r>
      <w:r>
        <w:rPr>
          <w:rFonts w:hint="eastAsia" w:ascii="宋体" w:hAnsi="宋体" w:eastAsia="方正仿宋_GBK" w:cs="方正仿宋_GBK"/>
          <w:b w:val="0"/>
          <w:bCs/>
          <w:i w:val="0"/>
          <w:iCs w:val="0"/>
          <w:caps w:val="0"/>
          <w:color w:val="auto"/>
          <w:spacing w:val="0"/>
          <w:sz w:val="32"/>
          <w:szCs w:val="32"/>
          <w:lang w:val="en-US" w:eastAsia="zh-CN"/>
        </w:rPr>
        <w:t>2019年度创新激励扶持补助3578.45万元及</w:t>
      </w:r>
      <w:r>
        <w:rPr>
          <w:rFonts w:hint="eastAsia" w:ascii="宋体" w:hAnsi="宋体" w:eastAsia="方正仿宋_GBK" w:cs="方正仿宋_GBK"/>
          <w:b w:val="0"/>
          <w:bCs/>
          <w:i w:val="0"/>
          <w:iCs w:val="0"/>
          <w:caps w:val="0"/>
          <w:color w:val="auto"/>
          <w:spacing w:val="0"/>
          <w:sz w:val="32"/>
          <w:szCs w:val="32"/>
        </w:rPr>
        <w:t>以前年度垫付的创新激励扶持资金5519.7万元</w:t>
      </w:r>
      <w:r>
        <w:rPr>
          <w:rFonts w:hint="eastAsia" w:ascii="宋体" w:hAnsi="宋体" w:eastAsia="方正仿宋_GBK" w:cs="方正仿宋_GBK"/>
          <w:b w:val="0"/>
          <w:bCs/>
          <w:i w:val="0"/>
          <w:iCs w:val="0"/>
          <w:caps w:val="0"/>
          <w:color w:val="auto"/>
          <w:spacing w:val="0"/>
          <w:sz w:val="32"/>
          <w:szCs w:val="32"/>
          <w:lang w:eastAsia="zh-CN"/>
        </w:rPr>
        <w:t>；二是追加了</w:t>
      </w:r>
      <w:r>
        <w:rPr>
          <w:rFonts w:hint="eastAsia" w:ascii="宋体" w:hAnsi="宋体" w:eastAsia="方正仿宋_GBK" w:cs="方正仿宋_GBK"/>
          <w:b w:val="0"/>
          <w:bCs/>
          <w:i w:val="0"/>
          <w:iCs w:val="0"/>
          <w:caps w:val="0"/>
          <w:color w:val="auto"/>
          <w:spacing w:val="0"/>
          <w:sz w:val="32"/>
          <w:szCs w:val="32"/>
        </w:rPr>
        <w:t>科技型企业贷款风险补偿金1200万元</w:t>
      </w:r>
      <w:r>
        <w:rPr>
          <w:rFonts w:hint="eastAsia" w:ascii="宋体" w:hAnsi="宋体" w:eastAsia="方正仿宋_GBK" w:cs="方正仿宋_GBK"/>
          <w:b w:val="0"/>
          <w:bCs/>
          <w:i w:val="0"/>
          <w:iCs w:val="0"/>
          <w:caps w:val="0"/>
          <w:color w:val="auto"/>
          <w:spacing w:val="0"/>
          <w:sz w:val="32"/>
          <w:szCs w:val="32"/>
          <w:lang w:eastAsia="zh-CN"/>
        </w:rPr>
        <w:t>；三是本年度下属两个事业单位独立核算。</w:t>
      </w:r>
      <w:r>
        <w:rPr>
          <w:rFonts w:hint="eastAsia" w:ascii="宋体" w:hAnsi="宋体" w:eastAsia="方正仿宋_GBK" w:cs="方正仿宋_GBK"/>
          <w:b w:val="0"/>
          <w:bCs/>
          <w:color w:val="auto"/>
          <w:sz w:val="32"/>
          <w:szCs w:val="32"/>
          <w:shd w:val="clear" w:fill="FFFFFF"/>
        </w:rPr>
        <w:t>其中：基本支出319.90万元，占56.8%；项目支出243.56万</w:t>
      </w:r>
      <w:r>
        <w:rPr>
          <w:rFonts w:hint="eastAsia" w:ascii="宋体" w:hAnsi="宋体" w:eastAsia="方正仿宋_GBK" w:cs="方正仿宋_GBK"/>
          <w:b w:val="0"/>
          <w:bCs/>
          <w:sz w:val="32"/>
          <w:szCs w:val="32"/>
          <w:shd w:val="clear" w:fill="FFFFFF"/>
        </w:rPr>
        <w:t>元，占43.2%；</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lang w:eastAsia="zh-CN"/>
        </w:rPr>
      </w:pPr>
      <w:r>
        <w:rPr>
          <w:rStyle w:val="14"/>
          <w:rFonts w:hint="eastAsia" w:ascii="宋体" w:hAnsi="宋体" w:eastAsia="方正仿宋_GBK" w:cs="方正仿宋_GBK"/>
          <w:b w:val="0"/>
          <w:bCs/>
          <w:sz w:val="32"/>
          <w:szCs w:val="32"/>
          <w:shd w:val="clear" w:fill="FFFFFF"/>
        </w:rPr>
        <w:t>4.结转结余情况。</w:t>
      </w:r>
      <w:r>
        <w:rPr>
          <w:rFonts w:hint="eastAsia" w:ascii="宋体" w:hAnsi="宋体" w:eastAsia="方正仿宋_GBK" w:cs="方正仿宋_GBK"/>
          <w:b w:val="0"/>
          <w:bCs/>
          <w:sz w:val="32"/>
          <w:szCs w:val="32"/>
          <w:shd w:val="clear" w:fill="FFFFFF"/>
        </w:rPr>
        <w:t>2022年度年末</w:t>
      </w:r>
      <w:r>
        <w:rPr>
          <w:rFonts w:hint="eastAsia" w:ascii="宋体" w:hAnsi="宋体" w:eastAsia="方正仿宋_GBK" w:cs="方正仿宋_GBK"/>
          <w:b w:val="0"/>
          <w:bCs/>
          <w:sz w:val="32"/>
          <w:szCs w:val="32"/>
          <w:shd w:val="clear" w:fill="FFFFFF"/>
          <w:lang w:eastAsia="zh-CN"/>
        </w:rPr>
        <w:t>无结转结余。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（二）财政拨款收入支出决算总体情况说明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i w:val="0"/>
          <w:iCs w:val="0"/>
          <w:caps w:val="0"/>
          <w:color w:val="auto"/>
          <w:spacing w:val="0"/>
          <w:sz w:val="32"/>
          <w:szCs w:val="32"/>
        </w:rPr>
      </w:pPr>
      <w:r>
        <w:rPr>
          <w:rFonts w:hint="eastAsia" w:ascii="宋体" w:hAnsi="宋体" w:eastAsia="方正仿宋_GBK" w:cs="方正仿宋_GBK"/>
          <w:b w:val="0"/>
          <w:bCs/>
          <w:sz w:val="32"/>
          <w:szCs w:val="32"/>
          <w:shd w:val="clear" w:fill="FFFFFF"/>
        </w:rPr>
        <w:t>2022年度财政拨款收、支总计563.47万元。与2021年相比，财政拨款收、支总计各减少10,824.29万元，下降95.1%。主要原因</w:t>
      </w:r>
      <w:r>
        <w:rPr>
          <w:rFonts w:hint="eastAsia" w:ascii="宋体" w:hAnsi="宋体" w:eastAsia="方正仿宋_GBK" w:cs="方正仿宋_GBK"/>
          <w:b w:val="0"/>
          <w:bCs/>
          <w:sz w:val="32"/>
          <w:szCs w:val="32"/>
          <w:shd w:val="clear" w:fill="FFFFFF"/>
          <w:lang w:eastAsia="zh-CN"/>
        </w:rPr>
        <w:t>一是</w:t>
      </w:r>
      <w:r>
        <w:rPr>
          <w:rFonts w:hint="eastAsia" w:ascii="宋体" w:hAnsi="宋体" w:eastAsia="方正仿宋_GBK" w:cs="方正仿宋_GBK"/>
          <w:b w:val="0"/>
          <w:bCs/>
          <w:color w:val="auto"/>
          <w:sz w:val="32"/>
          <w:szCs w:val="32"/>
          <w:shd w:val="clear" w:fill="FFFFFF"/>
          <w:lang w:eastAsia="zh-CN"/>
        </w:rPr>
        <w:t>上年度</w:t>
      </w:r>
      <w:r>
        <w:rPr>
          <w:rFonts w:hint="eastAsia" w:ascii="宋体" w:hAnsi="宋体" w:eastAsia="方正仿宋_GBK" w:cs="方正仿宋_GBK"/>
          <w:b w:val="0"/>
          <w:bCs/>
          <w:i w:val="0"/>
          <w:iCs w:val="0"/>
          <w:caps w:val="0"/>
          <w:color w:val="auto"/>
          <w:spacing w:val="0"/>
          <w:sz w:val="32"/>
          <w:szCs w:val="32"/>
        </w:rPr>
        <w:t>追加了</w:t>
      </w:r>
      <w:r>
        <w:rPr>
          <w:rFonts w:hint="eastAsia" w:ascii="宋体" w:hAnsi="宋体" w:eastAsia="方正仿宋_GBK" w:cs="方正仿宋_GBK"/>
          <w:b w:val="0"/>
          <w:bCs/>
          <w:i w:val="0"/>
          <w:iCs w:val="0"/>
          <w:caps w:val="0"/>
          <w:color w:val="auto"/>
          <w:spacing w:val="0"/>
          <w:sz w:val="32"/>
          <w:szCs w:val="32"/>
          <w:lang w:val="en-US" w:eastAsia="zh-CN"/>
        </w:rPr>
        <w:t>2019年度创新激励扶持补助3578.45万元及</w:t>
      </w:r>
      <w:r>
        <w:rPr>
          <w:rFonts w:hint="eastAsia" w:ascii="宋体" w:hAnsi="宋体" w:eastAsia="方正仿宋_GBK" w:cs="方正仿宋_GBK"/>
          <w:b w:val="0"/>
          <w:bCs/>
          <w:i w:val="0"/>
          <w:iCs w:val="0"/>
          <w:caps w:val="0"/>
          <w:color w:val="auto"/>
          <w:spacing w:val="0"/>
          <w:sz w:val="32"/>
          <w:szCs w:val="32"/>
        </w:rPr>
        <w:t>以前年度垫付的创新激励扶持资金5519.7万元</w:t>
      </w:r>
      <w:r>
        <w:rPr>
          <w:rFonts w:hint="eastAsia" w:ascii="宋体" w:hAnsi="宋体" w:eastAsia="方正仿宋_GBK" w:cs="方正仿宋_GBK"/>
          <w:b w:val="0"/>
          <w:bCs/>
          <w:i w:val="0"/>
          <w:iCs w:val="0"/>
          <w:caps w:val="0"/>
          <w:color w:val="auto"/>
          <w:spacing w:val="0"/>
          <w:sz w:val="32"/>
          <w:szCs w:val="32"/>
          <w:lang w:eastAsia="zh-CN"/>
        </w:rPr>
        <w:t>；二是追加了</w:t>
      </w:r>
      <w:r>
        <w:rPr>
          <w:rFonts w:hint="eastAsia" w:ascii="宋体" w:hAnsi="宋体" w:eastAsia="方正仿宋_GBK" w:cs="方正仿宋_GBK"/>
          <w:b w:val="0"/>
          <w:bCs/>
          <w:i w:val="0"/>
          <w:iCs w:val="0"/>
          <w:caps w:val="0"/>
          <w:color w:val="auto"/>
          <w:spacing w:val="0"/>
          <w:sz w:val="32"/>
          <w:szCs w:val="32"/>
        </w:rPr>
        <w:t>科技型企业贷款风险补偿金1200万元</w:t>
      </w:r>
      <w:r>
        <w:rPr>
          <w:rFonts w:hint="eastAsia" w:ascii="宋体" w:hAnsi="宋体" w:eastAsia="方正仿宋_GBK" w:cs="方正仿宋_GBK"/>
          <w:b w:val="0"/>
          <w:bCs/>
          <w:i w:val="0"/>
          <w:iCs w:val="0"/>
          <w:caps w:val="0"/>
          <w:color w:val="auto"/>
          <w:spacing w:val="0"/>
          <w:sz w:val="32"/>
          <w:szCs w:val="32"/>
          <w:lang w:eastAsia="zh-CN"/>
        </w:rPr>
        <w:t>；三是本年度下属两个事业单位独立核算。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（三）一般公共预算财政拨款收入支出决算情况说</w:t>
      </w:r>
      <w:r>
        <w:rPr>
          <w:rStyle w:val="14"/>
          <w:rFonts w:hint="eastAsia" w:ascii="宋体" w:hAnsi="宋体" w:eastAsia="方正仿宋_GBK" w:cs="方正仿宋_GBK"/>
          <w:b w:val="0"/>
          <w:bCs/>
          <w:sz w:val="32"/>
          <w:szCs w:val="32"/>
          <w:shd w:val="clear" w:fill="FFFFFF"/>
        </w:rPr>
        <w:t>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仿宋_GBK" w:cs="方正仿宋_GBK"/>
          <w:b w:val="0"/>
          <w:bCs/>
          <w:sz w:val="32"/>
          <w:szCs w:val="32"/>
          <w:shd w:val="clear" w:fill="FFFFFF"/>
        </w:rPr>
        <w:t>1.收入情况。</w:t>
      </w:r>
      <w:r>
        <w:rPr>
          <w:rFonts w:hint="eastAsia" w:ascii="宋体" w:hAnsi="宋体" w:eastAsia="方正仿宋_GBK" w:cs="方正仿宋_GBK"/>
          <w:b w:val="0"/>
          <w:bCs/>
          <w:sz w:val="32"/>
          <w:szCs w:val="32"/>
          <w:shd w:val="clear" w:fill="FFFFFF"/>
        </w:rPr>
        <w:t>2022年度一般公共预算财政拨款收入563.47万元，较上年决算数减少10,824.29万元，下降95.1%。主要原因</w:t>
      </w:r>
      <w:r>
        <w:rPr>
          <w:rFonts w:hint="eastAsia" w:ascii="宋体" w:hAnsi="宋体" w:eastAsia="方正仿宋_GBK" w:cs="方正仿宋_GBK"/>
          <w:b w:val="0"/>
          <w:bCs/>
          <w:sz w:val="32"/>
          <w:szCs w:val="32"/>
          <w:shd w:val="clear" w:fill="FFFFFF"/>
          <w:lang w:eastAsia="zh-CN"/>
        </w:rPr>
        <w:t>一是</w:t>
      </w:r>
      <w:r>
        <w:rPr>
          <w:rFonts w:hint="eastAsia" w:ascii="宋体" w:hAnsi="宋体" w:eastAsia="方正仿宋_GBK" w:cs="方正仿宋_GBK"/>
          <w:b w:val="0"/>
          <w:bCs/>
          <w:color w:val="auto"/>
          <w:sz w:val="32"/>
          <w:szCs w:val="32"/>
          <w:shd w:val="clear" w:fill="FFFFFF"/>
          <w:lang w:eastAsia="zh-CN"/>
        </w:rPr>
        <w:t>上年度</w:t>
      </w:r>
      <w:r>
        <w:rPr>
          <w:rFonts w:hint="eastAsia" w:ascii="宋体" w:hAnsi="宋体" w:eastAsia="方正仿宋_GBK" w:cs="方正仿宋_GBK"/>
          <w:b w:val="0"/>
          <w:bCs/>
          <w:i w:val="0"/>
          <w:iCs w:val="0"/>
          <w:caps w:val="0"/>
          <w:color w:val="auto"/>
          <w:spacing w:val="0"/>
          <w:sz w:val="32"/>
          <w:szCs w:val="32"/>
        </w:rPr>
        <w:t>追加了</w:t>
      </w:r>
      <w:r>
        <w:rPr>
          <w:rFonts w:hint="eastAsia" w:ascii="宋体" w:hAnsi="宋体" w:eastAsia="方正仿宋_GBK" w:cs="方正仿宋_GBK"/>
          <w:b w:val="0"/>
          <w:bCs/>
          <w:i w:val="0"/>
          <w:iCs w:val="0"/>
          <w:caps w:val="0"/>
          <w:color w:val="auto"/>
          <w:spacing w:val="0"/>
          <w:sz w:val="32"/>
          <w:szCs w:val="32"/>
          <w:lang w:val="en-US" w:eastAsia="zh-CN"/>
        </w:rPr>
        <w:t>2019年度创新激励扶持补助3578.45万元及</w:t>
      </w:r>
      <w:r>
        <w:rPr>
          <w:rFonts w:hint="eastAsia" w:ascii="宋体" w:hAnsi="宋体" w:eastAsia="方正仿宋_GBK" w:cs="方正仿宋_GBK"/>
          <w:b w:val="0"/>
          <w:bCs/>
          <w:i w:val="0"/>
          <w:iCs w:val="0"/>
          <w:caps w:val="0"/>
          <w:color w:val="auto"/>
          <w:spacing w:val="0"/>
          <w:sz w:val="32"/>
          <w:szCs w:val="32"/>
        </w:rPr>
        <w:t>以前年度垫付的创新激励扶持资金5519.7万元</w:t>
      </w:r>
      <w:r>
        <w:rPr>
          <w:rFonts w:hint="eastAsia" w:ascii="宋体" w:hAnsi="宋体" w:eastAsia="方正仿宋_GBK" w:cs="方正仿宋_GBK"/>
          <w:b w:val="0"/>
          <w:bCs/>
          <w:i w:val="0"/>
          <w:iCs w:val="0"/>
          <w:caps w:val="0"/>
          <w:color w:val="auto"/>
          <w:spacing w:val="0"/>
          <w:sz w:val="32"/>
          <w:szCs w:val="32"/>
          <w:lang w:eastAsia="zh-CN"/>
        </w:rPr>
        <w:t>；二是追加了</w:t>
      </w:r>
      <w:r>
        <w:rPr>
          <w:rFonts w:hint="eastAsia" w:ascii="宋体" w:hAnsi="宋体" w:eastAsia="方正仿宋_GBK" w:cs="方正仿宋_GBK"/>
          <w:b w:val="0"/>
          <w:bCs/>
          <w:i w:val="0"/>
          <w:iCs w:val="0"/>
          <w:caps w:val="0"/>
          <w:color w:val="auto"/>
          <w:spacing w:val="0"/>
          <w:sz w:val="32"/>
          <w:szCs w:val="32"/>
        </w:rPr>
        <w:t>科技型企业贷款风险补偿金1200万元</w:t>
      </w:r>
      <w:r>
        <w:rPr>
          <w:rFonts w:hint="eastAsia" w:ascii="宋体" w:hAnsi="宋体" w:eastAsia="方正仿宋_GBK" w:cs="方正仿宋_GBK"/>
          <w:b w:val="0"/>
          <w:bCs/>
          <w:i w:val="0"/>
          <w:iCs w:val="0"/>
          <w:caps w:val="0"/>
          <w:color w:val="auto"/>
          <w:spacing w:val="0"/>
          <w:sz w:val="32"/>
          <w:szCs w:val="32"/>
          <w:lang w:eastAsia="zh-CN"/>
        </w:rPr>
        <w:t>；三是本年度下属两个事业单位独立核算</w:t>
      </w:r>
      <w:r>
        <w:rPr>
          <w:rFonts w:hint="eastAsia" w:ascii="宋体" w:hAnsi="宋体" w:eastAsia="方正仿宋_GBK" w:cs="方正仿宋_GBK"/>
          <w:b w:val="0"/>
          <w:bCs/>
          <w:i w:val="0"/>
          <w:iCs w:val="0"/>
          <w:caps w:val="0"/>
          <w:color w:val="auto"/>
          <w:spacing w:val="0"/>
          <w:sz w:val="32"/>
          <w:szCs w:val="32"/>
        </w:rPr>
        <w:t>。</w:t>
      </w:r>
      <w:r>
        <w:rPr>
          <w:rFonts w:hint="eastAsia" w:ascii="宋体" w:hAnsi="宋体" w:eastAsia="方正仿宋_GBK" w:cs="方正仿宋_GBK"/>
          <w:b w:val="0"/>
          <w:bCs/>
          <w:sz w:val="32"/>
          <w:szCs w:val="32"/>
          <w:shd w:val="clear" w:fill="FFFFFF"/>
        </w:rPr>
        <w:t>较年初预算数减少171.16万元，下降23.3%。主要原因是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r>
        <w:rPr>
          <w:rFonts w:hint="eastAsia" w:ascii="宋体" w:hAnsi="宋体" w:eastAsia="方正仿宋_GBK" w:cs="方正仿宋_GBK"/>
          <w:b w:val="0"/>
          <w:bCs/>
          <w:sz w:val="32"/>
          <w:szCs w:val="32"/>
          <w:shd w:val="clear" w:fill="FFFFFF"/>
        </w:rPr>
        <w:t>此外，年初财政拨款结转和结余0.00万元。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仿宋_GBK" w:cs="方正仿宋_GBK"/>
          <w:b w:val="0"/>
          <w:bCs/>
          <w:sz w:val="32"/>
          <w:szCs w:val="32"/>
          <w:shd w:val="clear" w:fill="FFFFFF"/>
        </w:rPr>
        <w:t>2.支出情况。</w:t>
      </w:r>
      <w:r>
        <w:rPr>
          <w:rFonts w:hint="eastAsia" w:ascii="宋体" w:hAnsi="宋体" w:eastAsia="方正仿宋_GBK" w:cs="方正仿宋_GBK"/>
          <w:b w:val="0"/>
          <w:bCs/>
          <w:sz w:val="32"/>
          <w:szCs w:val="32"/>
          <w:shd w:val="clear" w:fill="FFFFFF"/>
        </w:rPr>
        <w:t>2022年度一般公共预算财政拨款支出563.47万元，较上年决算数减少10,824.29万元，下降95.1%。主要原因</w:t>
      </w:r>
      <w:r>
        <w:rPr>
          <w:rFonts w:hint="eastAsia" w:ascii="宋体" w:hAnsi="宋体" w:eastAsia="方正仿宋_GBK" w:cs="方正仿宋_GBK"/>
          <w:b w:val="0"/>
          <w:bCs/>
          <w:sz w:val="32"/>
          <w:szCs w:val="32"/>
          <w:shd w:val="clear" w:fill="FFFFFF"/>
          <w:lang w:eastAsia="zh-CN"/>
        </w:rPr>
        <w:t>一是</w:t>
      </w:r>
      <w:r>
        <w:rPr>
          <w:rFonts w:hint="eastAsia" w:ascii="宋体" w:hAnsi="宋体" w:eastAsia="方正仿宋_GBK" w:cs="方正仿宋_GBK"/>
          <w:b w:val="0"/>
          <w:bCs/>
          <w:color w:val="auto"/>
          <w:sz w:val="32"/>
          <w:szCs w:val="32"/>
          <w:shd w:val="clear" w:fill="FFFFFF"/>
          <w:lang w:eastAsia="zh-CN"/>
        </w:rPr>
        <w:t>上年度</w:t>
      </w:r>
      <w:r>
        <w:rPr>
          <w:rFonts w:hint="eastAsia" w:ascii="宋体" w:hAnsi="宋体" w:eastAsia="方正仿宋_GBK" w:cs="方正仿宋_GBK"/>
          <w:b w:val="0"/>
          <w:bCs/>
          <w:i w:val="0"/>
          <w:iCs w:val="0"/>
          <w:caps w:val="0"/>
          <w:color w:val="auto"/>
          <w:spacing w:val="0"/>
          <w:sz w:val="32"/>
          <w:szCs w:val="32"/>
        </w:rPr>
        <w:t>追加了</w:t>
      </w:r>
      <w:r>
        <w:rPr>
          <w:rFonts w:hint="eastAsia" w:ascii="宋体" w:hAnsi="宋体" w:eastAsia="方正仿宋_GBK" w:cs="方正仿宋_GBK"/>
          <w:b w:val="0"/>
          <w:bCs/>
          <w:i w:val="0"/>
          <w:iCs w:val="0"/>
          <w:caps w:val="0"/>
          <w:color w:val="auto"/>
          <w:spacing w:val="0"/>
          <w:sz w:val="32"/>
          <w:szCs w:val="32"/>
          <w:lang w:val="en-US" w:eastAsia="zh-CN"/>
        </w:rPr>
        <w:t>2019年度创新激励扶持补助3578.45万元及</w:t>
      </w:r>
      <w:r>
        <w:rPr>
          <w:rFonts w:hint="eastAsia" w:ascii="宋体" w:hAnsi="宋体" w:eastAsia="方正仿宋_GBK" w:cs="方正仿宋_GBK"/>
          <w:b w:val="0"/>
          <w:bCs/>
          <w:i w:val="0"/>
          <w:iCs w:val="0"/>
          <w:caps w:val="0"/>
          <w:color w:val="auto"/>
          <w:spacing w:val="0"/>
          <w:sz w:val="32"/>
          <w:szCs w:val="32"/>
        </w:rPr>
        <w:t>以前年度垫付的创新激励扶持资金5519.7万元</w:t>
      </w:r>
      <w:r>
        <w:rPr>
          <w:rFonts w:hint="eastAsia" w:ascii="宋体" w:hAnsi="宋体" w:eastAsia="方正仿宋_GBK" w:cs="方正仿宋_GBK"/>
          <w:b w:val="0"/>
          <w:bCs/>
          <w:i w:val="0"/>
          <w:iCs w:val="0"/>
          <w:caps w:val="0"/>
          <w:color w:val="auto"/>
          <w:spacing w:val="0"/>
          <w:sz w:val="32"/>
          <w:szCs w:val="32"/>
          <w:lang w:eastAsia="zh-CN"/>
        </w:rPr>
        <w:t>；二是追加了</w:t>
      </w:r>
      <w:r>
        <w:rPr>
          <w:rFonts w:hint="eastAsia" w:ascii="宋体" w:hAnsi="宋体" w:eastAsia="方正仿宋_GBK" w:cs="方正仿宋_GBK"/>
          <w:b w:val="0"/>
          <w:bCs/>
          <w:i w:val="0"/>
          <w:iCs w:val="0"/>
          <w:caps w:val="0"/>
          <w:color w:val="auto"/>
          <w:spacing w:val="0"/>
          <w:sz w:val="32"/>
          <w:szCs w:val="32"/>
        </w:rPr>
        <w:t>科技型企业贷款风险补偿金1200万元</w:t>
      </w:r>
      <w:r>
        <w:rPr>
          <w:rFonts w:hint="eastAsia" w:ascii="宋体" w:hAnsi="宋体" w:eastAsia="方正仿宋_GBK" w:cs="方正仿宋_GBK"/>
          <w:b w:val="0"/>
          <w:bCs/>
          <w:i w:val="0"/>
          <w:iCs w:val="0"/>
          <w:caps w:val="0"/>
          <w:color w:val="auto"/>
          <w:spacing w:val="0"/>
          <w:sz w:val="32"/>
          <w:szCs w:val="32"/>
          <w:lang w:eastAsia="zh-CN"/>
        </w:rPr>
        <w:t>；三是本年度下属两个事业单位独立核算。</w:t>
      </w:r>
      <w:r>
        <w:rPr>
          <w:rFonts w:hint="eastAsia" w:ascii="宋体" w:hAnsi="宋体" w:eastAsia="方正仿宋_GBK" w:cs="方正仿宋_GBK"/>
          <w:b w:val="0"/>
          <w:bCs/>
          <w:sz w:val="32"/>
          <w:szCs w:val="32"/>
          <w:shd w:val="clear" w:fill="FFFFFF"/>
        </w:rPr>
        <w:t>较年初预算数减少171.16万元，下降23.3%。主要原因是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shd w:val="clear" w:fill="FFFFFF"/>
          <w:lang w:val="en-US" w:eastAsia="zh-CN"/>
        </w:rPr>
      </w:pPr>
      <w:r>
        <w:rPr>
          <w:rStyle w:val="14"/>
          <w:rFonts w:hint="eastAsia" w:ascii="宋体" w:hAnsi="宋体" w:eastAsia="方正仿宋_GBK" w:cs="方正仿宋_GBK"/>
          <w:b w:val="0"/>
          <w:bCs/>
          <w:sz w:val="32"/>
          <w:szCs w:val="32"/>
          <w:shd w:val="clear" w:fill="FFFFFF"/>
        </w:rPr>
        <w:t>3.结转结余情况。</w:t>
      </w:r>
      <w:r>
        <w:rPr>
          <w:rFonts w:hint="eastAsia" w:ascii="宋体" w:hAnsi="宋体" w:eastAsia="方正仿宋_GBK" w:cs="方正仿宋_GBK"/>
          <w:b w:val="0"/>
          <w:bCs/>
          <w:sz w:val="32"/>
          <w:szCs w:val="32"/>
          <w:shd w:val="clear" w:fill="FFFFFF"/>
        </w:rPr>
        <w:t>2022年度年末一般公共预算财政拨款结转和结余0.00万元</w:t>
      </w:r>
      <w:r>
        <w:rPr>
          <w:rFonts w:hint="eastAsia" w:ascii="宋体" w:hAnsi="宋体" w:eastAsia="方正仿宋_GBK" w:cs="方正仿宋_GBK"/>
          <w:b w:val="0"/>
          <w:bCs/>
          <w:sz w:val="32"/>
          <w:szCs w:val="32"/>
          <w:shd w:val="clear" w:fill="FFFFFF"/>
          <w:lang w:val="en-US"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仿宋_GBK" w:cs="方正仿宋_GBK"/>
          <w:b w:val="0"/>
          <w:bCs/>
          <w:sz w:val="32"/>
          <w:szCs w:val="32"/>
          <w:shd w:val="clear" w:fill="FFFFFF"/>
        </w:rPr>
        <w:t>4.比较情况。</w:t>
      </w:r>
      <w:r>
        <w:rPr>
          <w:rFonts w:hint="eastAsia" w:ascii="宋体" w:hAnsi="宋体" w:eastAsia="方正仿宋_GBK" w:cs="方正仿宋_GBK"/>
          <w:b w:val="0"/>
          <w:bCs/>
          <w:sz w:val="32"/>
          <w:szCs w:val="32"/>
          <w:shd w:val="clear" w:fill="FFFFFF"/>
        </w:rPr>
        <w:t>本部门2022年度一般公共预算财政拨款支出主要用于以下几个方面：</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shd w:val="clear" w:fill="FFFFFF"/>
          <w:lang w:eastAsia="zh-CN"/>
        </w:rPr>
      </w:pPr>
      <w:r>
        <w:rPr>
          <w:rFonts w:hint="eastAsia" w:ascii="宋体" w:hAnsi="宋体" w:eastAsia="方正仿宋_GBK" w:cs="方正仿宋_GBK"/>
          <w:b w:val="0"/>
          <w:bCs/>
          <w:sz w:val="32"/>
          <w:szCs w:val="32"/>
          <w:shd w:val="clear" w:fill="FFFFFF"/>
        </w:rPr>
        <w:t>（</w:t>
      </w:r>
      <w:r>
        <w:rPr>
          <w:rFonts w:hint="eastAsia" w:ascii="宋体" w:hAnsi="宋体" w:eastAsia="方正仿宋_GBK" w:cs="方正仿宋_GBK"/>
          <w:b w:val="0"/>
          <w:bCs/>
          <w:sz w:val="32"/>
          <w:szCs w:val="32"/>
          <w:shd w:val="clear" w:fill="FFFFFF"/>
          <w:lang w:val="en-US" w:eastAsia="zh-CN"/>
        </w:rPr>
        <w:t>1</w:t>
      </w:r>
      <w:r>
        <w:rPr>
          <w:rFonts w:hint="eastAsia" w:ascii="宋体" w:hAnsi="宋体" w:eastAsia="方正仿宋_GBK" w:cs="方正仿宋_GBK"/>
          <w:b w:val="0"/>
          <w:bCs/>
          <w:sz w:val="32"/>
          <w:szCs w:val="32"/>
          <w:shd w:val="clear" w:fill="FFFFFF"/>
        </w:rPr>
        <w:t>）教育支出1.47万元，占0.3%，较年初预算数</w:t>
      </w:r>
      <w:r>
        <w:rPr>
          <w:rFonts w:hint="eastAsia" w:ascii="宋体" w:hAnsi="宋体" w:eastAsia="方正仿宋_GBK" w:cs="方正仿宋_GBK"/>
          <w:b w:val="0"/>
          <w:bCs/>
          <w:sz w:val="32"/>
          <w:szCs w:val="32"/>
          <w:shd w:val="clear" w:fill="FFFFFF"/>
          <w:lang w:eastAsia="zh-CN"/>
        </w:rPr>
        <w:t>持平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hAnsi="宋体" w:eastAsia="方正仿宋_GBK" w:cs="方正仿宋_GBK"/>
          <w:vanish w:val="0"/>
          <w:sz w:val="32"/>
          <w:szCs w:val="32"/>
          <w:shd w:val="clear" w:color="auto" w:fill="auto"/>
          <w:lang w:eastAsia="zh-CN"/>
        </w:rPr>
      </w:pPr>
      <w:r>
        <w:rPr>
          <w:rFonts w:hint="eastAsia" w:ascii="宋体" w:hAnsi="宋体" w:eastAsia="方正仿宋_GBK" w:cs="方正仿宋_GBK"/>
          <w:b w:val="0"/>
          <w:bCs/>
          <w:sz w:val="32"/>
          <w:szCs w:val="32"/>
          <w:shd w:val="clear" w:fill="FFFFFF"/>
        </w:rPr>
        <w:t>（</w:t>
      </w:r>
      <w:r>
        <w:rPr>
          <w:rFonts w:hint="eastAsia" w:ascii="宋体" w:hAnsi="宋体" w:eastAsia="方正仿宋_GBK" w:cs="方正仿宋_GBK"/>
          <w:b w:val="0"/>
          <w:bCs/>
          <w:sz w:val="32"/>
          <w:szCs w:val="32"/>
          <w:shd w:val="clear" w:fill="FFFFFF"/>
          <w:lang w:val="en-US" w:eastAsia="zh-CN"/>
        </w:rPr>
        <w:t>2</w:t>
      </w:r>
      <w:r>
        <w:rPr>
          <w:rFonts w:hint="eastAsia" w:ascii="宋体" w:hAnsi="宋体" w:eastAsia="方正仿宋_GBK" w:cs="方正仿宋_GBK"/>
          <w:b w:val="0"/>
          <w:bCs/>
          <w:sz w:val="32"/>
          <w:szCs w:val="32"/>
          <w:shd w:val="clear" w:fill="FFFFFF"/>
        </w:rPr>
        <w:t>）科学技术支出460.85万元，占81.8%，较年初预算数减少173.43万元，下降27.3%，主要原因是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hAnsi="宋体" w:eastAsia="方正仿宋_GBK" w:cs="方正仿宋_GBK"/>
          <w:vanish w:val="0"/>
          <w:sz w:val="32"/>
          <w:szCs w:val="32"/>
          <w:shd w:val="clear" w:color="auto" w:fill="auto"/>
          <w:lang w:eastAsia="zh-CN"/>
        </w:rPr>
      </w:pPr>
      <w:r>
        <w:rPr>
          <w:rFonts w:hint="eastAsia" w:ascii="宋体" w:hAnsi="宋体" w:eastAsia="方正仿宋_GBK" w:cs="方正仿宋_GBK"/>
          <w:b w:val="0"/>
          <w:bCs/>
          <w:sz w:val="32"/>
          <w:szCs w:val="32"/>
          <w:shd w:val="clear" w:fill="FFFFFF"/>
        </w:rPr>
        <w:t>（</w:t>
      </w:r>
      <w:r>
        <w:rPr>
          <w:rFonts w:hint="eastAsia" w:ascii="宋体" w:hAnsi="宋体" w:eastAsia="方正仿宋_GBK" w:cs="方正仿宋_GBK"/>
          <w:b w:val="0"/>
          <w:bCs/>
          <w:sz w:val="32"/>
          <w:szCs w:val="32"/>
          <w:shd w:val="clear" w:fill="FFFFFF"/>
          <w:lang w:val="en-US" w:eastAsia="zh-CN"/>
        </w:rPr>
        <w:t>3</w:t>
      </w:r>
      <w:r>
        <w:rPr>
          <w:rFonts w:hint="eastAsia" w:ascii="宋体" w:hAnsi="宋体" w:eastAsia="方正仿宋_GBK" w:cs="方正仿宋_GBK"/>
          <w:b w:val="0"/>
          <w:bCs/>
          <w:sz w:val="32"/>
          <w:szCs w:val="32"/>
          <w:shd w:val="clear" w:fill="FFFFFF"/>
        </w:rPr>
        <w:t>）社会保障与就业支出71.90万元，占12.8%，较年初预算数增加2.27万元，增长3.3%，主要原因是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shd w:val="clear" w:fill="FFFFFF"/>
          <w:lang w:eastAsia="zh-CN"/>
        </w:rPr>
      </w:pPr>
      <w:r>
        <w:rPr>
          <w:rFonts w:hint="eastAsia" w:ascii="宋体" w:hAnsi="宋体" w:eastAsia="方正仿宋_GBK" w:cs="方正仿宋_GBK"/>
          <w:b w:val="0"/>
          <w:bCs/>
          <w:sz w:val="32"/>
          <w:szCs w:val="32"/>
          <w:shd w:val="clear" w:fill="FFFFFF"/>
        </w:rPr>
        <w:t>（</w:t>
      </w:r>
      <w:r>
        <w:rPr>
          <w:rFonts w:hint="eastAsia" w:ascii="宋体" w:hAnsi="宋体" w:eastAsia="方正仿宋_GBK" w:cs="方正仿宋_GBK"/>
          <w:b w:val="0"/>
          <w:bCs/>
          <w:sz w:val="32"/>
          <w:szCs w:val="32"/>
          <w:shd w:val="clear" w:fill="FFFFFF"/>
          <w:lang w:val="en-US" w:eastAsia="zh-CN"/>
        </w:rPr>
        <w:t>4</w:t>
      </w:r>
      <w:r>
        <w:rPr>
          <w:rFonts w:hint="eastAsia" w:ascii="宋体" w:hAnsi="宋体" w:eastAsia="方正仿宋_GBK" w:cs="方正仿宋_GBK"/>
          <w:b w:val="0"/>
          <w:bCs/>
          <w:sz w:val="32"/>
          <w:szCs w:val="32"/>
          <w:shd w:val="clear" w:fill="FFFFFF"/>
        </w:rPr>
        <w:t>）卫生健康支出17.51万元，占3.1%，较年初预算数</w:t>
      </w:r>
      <w:r>
        <w:rPr>
          <w:rFonts w:hint="eastAsia" w:ascii="宋体" w:hAnsi="宋体" w:eastAsia="方正仿宋_GBK" w:cs="方正仿宋_GBK"/>
          <w:b w:val="0"/>
          <w:bCs/>
          <w:sz w:val="32"/>
          <w:szCs w:val="32"/>
          <w:shd w:val="clear" w:fill="FFFFFF"/>
          <w:lang w:eastAsia="zh-CN"/>
        </w:rPr>
        <w:t>持平。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shd w:val="clear" w:fill="FFFFFF"/>
          <w:lang w:eastAsia="zh-CN"/>
        </w:rPr>
      </w:pPr>
      <w:r>
        <w:rPr>
          <w:rFonts w:hint="eastAsia" w:ascii="宋体" w:hAnsi="宋体" w:eastAsia="方正仿宋_GBK" w:cs="方正仿宋_GBK"/>
          <w:b w:val="0"/>
          <w:bCs/>
          <w:sz w:val="32"/>
          <w:szCs w:val="32"/>
          <w:shd w:val="clear" w:fill="FFFFFF"/>
        </w:rPr>
        <w:t>（</w:t>
      </w:r>
      <w:r>
        <w:rPr>
          <w:rFonts w:hint="eastAsia" w:ascii="宋体" w:hAnsi="宋体" w:eastAsia="方正仿宋_GBK" w:cs="方正仿宋_GBK"/>
          <w:b w:val="0"/>
          <w:bCs/>
          <w:sz w:val="32"/>
          <w:szCs w:val="32"/>
          <w:shd w:val="clear" w:fill="FFFFFF"/>
          <w:lang w:val="en-US" w:eastAsia="zh-CN"/>
        </w:rPr>
        <w:t>5</w:t>
      </w:r>
      <w:r>
        <w:rPr>
          <w:rFonts w:hint="eastAsia" w:ascii="宋体" w:hAnsi="宋体" w:eastAsia="方正仿宋_GBK" w:cs="方正仿宋_GBK"/>
          <w:b w:val="0"/>
          <w:bCs/>
          <w:sz w:val="32"/>
          <w:szCs w:val="32"/>
          <w:shd w:val="clear" w:fill="FFFFFF"/>
        </w:rPr>
        <w:t>）住房保障支出11.73万元，占2.1%，较年初预算数</w:t>
      </w:r>
      <w:r>
        <w:rPr>
          <w:rFonts w:hint="eastAsia" w:ascii="宋体" w:hAnsi="宋体" w:eastAsia="方正仿宋_GBK" w:cs="方正仿宋_GBK"/>
          <w:b w:val="0"/>
          <w:bCs/>
          <w:sz w:val="32"/>
          <w:szCs w:val="32"/>
          <w:shd w:val="clear" w:fill="FFFFFF"/>
          <w:lang w:eastAsia="zh-CN"/>
        </w:rPr>
        <w:t>持平。</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4"/>
          <w:rFonts w:hint="eastAsia" w:ascii="宋体" w:hAnsi="宋体" w:eastAsia="方正楷体_GBK" w:cs="方正楷体_GBK"/>
          <w:b w:val="0"/>
          <w:bCs/>
          <w:sz w:val="32"/>
          <w:szCs w:val="32"/>
          <w:shd w:val="clear" w:fill="FFFFFF"/>
        </w:rPr>
        <w:t>（四）一般公共预算财政拨款基本支出决算情况说明</w:t>
      </w:r>
    </w:p>
    <w:p>
      <w:pPr>
        <w:pStyle w:val="11"/>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shd w:val="clear" w:fill="FFFFFF"/>
        </w:rPr>
        <w:t>2022年度一般公共预算财政拨款基本支出319.90万元。其中：人员经费274.63万元，较上年决算数减少312.59万元，下降53.2%，主要原因是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r>
        <w:rPr>
          <w:rFonts w:hint="eastAsia" w:ascii="宋体" w:hAnsi="宋体" w:eastAsia="方正仿宋_GBK" w:cs="方正仿宋_GBK"/>
          <w:b w:val="0"/>
          <w:bCs/>
          <w:sz w:val="32"/>
          <w:szCs w:val="32"/>
          <w:shd w:val="clear" w:fill="FFFFFF"/>
        </w:rPr>
        <w:t>人员经费用途主要包括</w:t>
      </w:r>
      <w:r>
        <w:rPr>
          <w:rFonts w:hint="eastAsia" w:ascii="宋体" w:hAnsi="宋体" w:eastAsia="方正仿宋_GBK" w:cs="方正仿宋_GBK"/>
          <w:b w:val="0"/>
          <w:bCs/>
          <w:i w:val="0"/>
          <w:iCs w:val="0"/>
          <w:caps w:val="0"/>
          <w:color w:val="000000"/>
          <w:spacing w:val="0"/>
          <w:sz w:val="32"/>
          <w:szCs w:val="32"/>
          <w:shd w:val="clear" w:fill="FFFFFF"/>
        </w:rPr>
        <w:t>人员工资、住房公积金、养老保险、职业年金、医疗保险等</w:t>
      </w:r>
      <w:r>
        <w:rPr>
          <w:rFonts w:hint="eastAsia" w:ascii="宋体" w:hAnsi="宋体" w:eastAsia="方正仿宋_GBK" w:cs="方正仿宋_GBK"/>
          <w:b w:val="0"/>
          <w:bCs/>
          <w:color w:val="auto"/>
          <w:sz w:val="32"/>
          <w:szCs w:val="32"/>
          <w:shd w:val="clear" w:fill="FFFFFF"/>
        </w:rPr>
        <w:t>。</w:t>
      </w:r>
      <w:r>
        <w:rPr>
          <w:rFonts w:hint="eastAsia" w:ascii="宋体" w:hAnsi="宋体" w:eastAsia="方正仿宋_GBK" w:cs="方正仿宋_GBK"/>
          <w:b w:val="0"/>
          <w:bCs/>
          <w:sz w:val="32"/>
          <w:szCs w:val="32"/>
          <w:shd w:val="clear" w:fill="FFFFFF"/>
        </w:rPr>
        <w:t>公用经费45.27万元，较上年决算数减少58.94万元，下降56.6%，主要原因是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r>
        <w:rPr>
          <w:rFonts w:hint="eastAsia" w:ascii="宋体" w:hAnsi="宋体" w:eastAsia="方正仿宋_GBK" w:cs="方正仿宋_GBK"/>
          <w:b w:val="0"/>
          <w:bCs/>
          <w:sz w:val="32"/>
          <w:szCs w:val="32"/>
          <w:shd w:val="clear" w:fill="FFFFFF"/>
        </w:rPr>
        <w:t>公用经费用途主要包括</w:t>
      </w:r>
      <w:r>
        <w:rPr>
          <w:rFonts w:hint="eastAsia" w:ascii="宋体" w:hAnsi="宋体" w:eastAsia="方正仿宋_GBK" w:cs="方正仿宋_GBK"/>
          <w:b w:val="0"/>
          <w:bCs/>
          <w:i w:val="0"/>
          <w:iCs w:val="0"/>
          <w:caps w:val="0"/>
          <w:spacing w:val="0"/>
          <w:sz w:val="32"/>
          <w:szCs w:val="32"/>
          <w:shd w:val="clear" w:fill="FFFFFF"/>
        </w:rPr>
        <w:t>办公费、印刷费、通信费、物业费、水电费、会议费、培训费、差旅费、接待费、劳务费、交通费等</w:t>
      </w:r>
      <w:r>
        <w:rPr>
          <w:rFonts w:hint="eastAsia" w:ascii="宋体" w:hAnsi="宋体" w:eastAsia="方正仿宋_GBK" w:cs="方正仿宋_GBK"/>
          <w:b w:val="0"/>
          <w:bCs/>
          <w:i w:val="0"/>
          <w:iCs w:val="0"/>
          <w:caps w:val="0"/>
          <w:spacing w:val="0"/>
          <w:sz w:val="32"/>
          <w:szCs w:val="32"/>
          <w:shd w:val="clear" w:fill="FFFFFF"/>
          <w:lang w:eastAsia="zh-CN"/>
        </w:rPr>
        <w:t>。</w:t>
      </w:r>
    </w:p>
    <w:p>
      <w:pPr>
        <w:pStyle w:val="11"/>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14"/>
          <w:rFonts w:hint="eastAsia" w:ascii="宋体" w:hAnsi="宋体" w:eastAsia="方正楷体_GBK" w:cs="方正楷体_GBK"/>
          <w:b w:val="0"/>
          <w:bCs/>
          <w:sz w:val="32"/>
          <w:szCs w:val="32"/>
          <w:shd w:val="clear" w:fill="FFFFFF"/>
        </w:rPr>
      </w:pPr>
      <w:r>
        <w:rPr>
          <w:rStyle w:val="14"/>
          <w:rFonts w:hint="eastAsia" w:ascii="宋体" w:hAnsi="宋体" w:eastAsia="方正楷体_GBK" w:cs="方正楷体_GBK"/>
          <w:b w:val="0"/>
          <w:bCs/>
          <w:sz w:val="32"/>
          <w:szCs w:val="32"/>
          <w:shd w:val="clear" w:fill="FFFFFF"/>
        </w:rPr>
        <w:t>政府性基金预算收支决算情况说明</w:t>
      </w:r>
    </w:p>
    <w:p>
      <w:pPr>
        <w:pStyle w:val="11"/>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left"/>
        <w:textAlignment w:val="auto"/>
        <w:rPr>
          <w:rFonts w:hint="eastAsia" w:ascii="宋体" w:hAnsi="宋体" w:eastAsia="方正仿宋_GBK" w:cs="方正仿宋_GBK"/>
          <w:b w:val="0"/>
          <w:bCs/>
          <w:i w:val="0"/>
          <w:iCs w:val="0"/>
          <w:caps w:val="0"/>
          <w:spacing w:val="0"/>
          <w:sz w:val="32"/>
          <w:szCs w:val="32"/>
          <w:shd w:val="clear" w:fill="FFFFFF"/>
        </w:rPr>
      </w:pPr>
      <w:r>
        <w:rPr>
          <w:rFonts w:hint="eastAsia" w:ascii="宋体" w:hAnsi="宋体" w:eastAsia="方正仿宋_GBK" w:cs="方正仿宋_GBK"/>
          <w:b w:val="0"/>
          <w:bCs/>
          <w:i w:val="0"/>
          <w:iCs w:val="0"/>
          <w:caps w:val="0"/>
          <w:spacing w:val="0"/>
          <w:sz w:val="32"/>
          <w:szCs w:val="32"/>
          <w:shd w:val="clear" w:fill="FFFFFF"/>
        </w:rPr>
        <w:t>本部门2022年度无政府性基金预算财政拨款收支。</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（六）国有资本经营预算财政拨款支出决算情况说明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i w:val="0"/>
          <w:iCs w:val="0"/>
          <w:caps w:val="0"/>
          <w:spacing w:val="0"/>
          <w:sz w:val="32"/>
          <w:szCs w:val="32"/>
          <w:shd w:val="clear" w:fill="FFFFFF"/>
        </w:rPr>
        <w:t>本部门2022年度无国有资本经营预算财政拨款支出。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黑体_GBK" w:cs="方正黑体_GBK"/>
          <w:b w:val="0"/>
          <w:bCs/>
          <w:sz w:val="32"/>
          <w:szCs w:val="32"/>
        </w:rPr>
      </w:pPr>
      <w:r>
        <w:rPr>
          <w:rStyle w:val="14"/>
          <w:rFonts w:hint="eastAsia" w:ascii="宋体" w:hAnsi="宋体" w:eastAsia="方正黑体_GBK" w:cs="方正黑体_GBK"/>
          <w:b w:val="0"/>
          <w:bCs/>
          <w:sz w:val="32"/>
          <w:szCs w:val="32"/>
          <w:shd w:val="clear" w:fill="FFFFFF"/>
        </w:rPr>
        <w:t>三、“三公”经费情况说明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4"/>
          <w:rFonts w:hint="eastAsia" w:ascii="宋体" w:hAnsi="宋体" w:eastAsia="方正楷体_GBK" w:cs="方正楷体_GBK"/>
          <w:b w:val="0"/>
          <w:bCs/>
          <w:sz w:val="32"/>
          <w:szCs w:val="32"/>
          <w:shd w:val="clear" w:fill="FFFFFF"/>
        </w:rPr>
        <w:t>（一）“三公”经费支出总体情况说明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color w:val="auto"/>
          <w:sz w:val="32"/>
          <w:szCs w:val="32"/>
          <w:lang w:eastAsia="zh-CN"/>
        </w:rPr>
      </w:pPr>
      <w:r>
        <w:rPr>
          <w:rFonts w:hint="eastAsia" w:ascii="宋体" w:hAnsi="宋体" w:eastAsia="方正仿宋_GBK" w:cs="方正仿宋_GBK"/>
          <w:b w:val="0"/>
          <w:bCs/>
          <w:sz w:val="32"/>
          <w:szCs w:val="32"/>
          <w:shd w:val="clear" w:fill="FFFFFF"/>
        </w:rPr>
        <w:t>2022年度“三公”经费支出共计0.65万元，较年初预算数减少2.35万元，下降78.3%，较上年支出数减少0.86万元，下降57%，主要原因</w:t>
      </w:r>
      <w:r>
        <w:rPr>
          <w:rFonts w:hint="eastAsia" w:ascii="宋体" w:hAnsi="宋体" w:eastAsia="方正仿宋_GBK" w:cs="方正仿宋_GBK"/>
          <w:b w:val="0"/>
          <w:bCs/>
          <w:sz w:val="32"/>
          <w:szCs w:val="32"/>
          <w:shd w:val="clear" w:fill="FFFFFF"/>
          <w:lang w:eastAsia="zh-CN"/>
        </w:rPr>
        <w:t>一</w:t>
      </w:r>
      <w:r>
        <w:rPr>
          <w:rFonts w:hint="eastAsia" w:ascii="宋体" w:hAnsi="宋体" w:eastAsia="方正仿宋_GBK" w:cs="方正仿宋_GBK"/>
          <w:b w:val="0"/>
          <w:bCs/>
          <w:color w:val="auto"/>
          <w:sz w:val="32"/>
          <w:szCs w:val="32"/>
          <w:shd w:val="clear" w:fill="FFFFFF"/>
          <w:lang w:eastAsia="zh-CN"/>
        </w:rPr>
        <w:t>是严格执行八项规定，厉行节约，严格控制预算支出；</w:t>
      </w:r>
      <w:r>
        <w:rPr>
          <w:rFonts w:hint="eastAsia" w:ascii="宋体" w:hAnsi="宋体" w:eastAsia="方正仿宋_GBK" w:cs="方正仿宋_GBK"/>
          <w:b w:val="0"/>
          <w:bCs/>
          <w:color w:val="auto"/>
          <w:sz w:val="32"/>
          <w:szCs w:val="32"/>
          <w:shd w:val="clear" w:fill="FFFFFF"/>
        </w:rPr>
        <w:t>二是疫情原因，接待次数相应减少</w:t>
      </w:r>
      <w:r>
        <w:rPr>
          <w:rFonts w:hint="eastAsia" w:ascii="宋体" w:hAnsi="宋体" w:eastAsia="方正仿宋_GBK" w:cs="方正仿宋_GBK"/>
          <w:b w:val="0"/>
          <w:bCs/>
          <w:color w:val="auto"/>
          <w:sz w:val="32"/>
          <w:szCs w:val="32"/>
          <w:shd w:val="clear" w:fill="FFFFFF"/>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4"/>
          <w:rFonts w:hint="eastAsia" w:ascii="宋体" w:hAnsi="宋体" w:eastAsia="方正楷体_GBK" w:cs="方正楷体_GBK"/>
          <w:b w:val="0"/>
          <w:bCs/>
          <w:sz w:val="32"/>
          <w:szCs w:val="32"/>
          <w:shd w:val="clear" w:fill="FFFFFF"/>
        </w:rPr>
        <w:t>（二）“三公”经费分项支出情况</w:t>
      </w:r>
    </w:p>
    <w:p>
      <w:pPr>
        <w:pStyle w:val="11"/>
        <w:keepNext w:val="0"/>
        <w:keepLines w:val="0"/>
        <w:pageBreakBefore w:val="0"/>
        <w:widowControl/>
        <w:kinsoku/>
        <w:wordWrap/>
        <w:overflowPunct/>
        <w:topLinePunct w:val="0"/>
        <w:autoSpaceDE/>
        <w:autoSpaceDN/>
        <w:bidi w:val="0"/>
        <w:adjustRightInd/>
        <w:snapToGrid/>
        <w:spacing w:beforeAutospacing="0" w:afterAutospacing="0" w:line="579" w:lineRule="exact"/>
        <w:ind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i w:val="0"/>
          <w:iCs w:val="0"/>
          <w:caps w:val="0"/>
          <w:spacing w:val="0"/>
          <w:sz w:val="32"/>
          <w:szCs w:val="32"/>
        </w:rPr>
        <w:t>202</w:t>
      </w:r>
      <w:r>
        <w:rPr>
          <w:rFonts w:hint="eastAsia" w:ascii="宋体" w:hAnsi="宋体" w:eastAsia="方正仿宋_GBK" w:cs="方正仿宋_GBK"/>
          <w:b w:val="0"/>
          <w:bCs/>
          <w:i w:val="0"/>
          <w:iCs w:val="0"/>
          <w:caps w:val="0"/>
          <w:spacing w:val="0"/>
          <w:sz w:val="32"/>
          <w:szCs w:val="32"/>
          <w:lang w:val="en-US" w:eastAsia="zh-CN"/>
        </w:rPr>
        <w:t>2</w:t>
      </w:r>
      <w:r>
        <w:rPr>
          <w:rFonts w:hint="eastAsia" w:ascii="宋体" w:hAnsi="宋体" w:eastAsia="方正仿宋_GBK" w:cs="方正仿宋_GBK"/>
          <w:b w:val="0"/>
          <w:bCs/>
          <w:i w:val="0"/>
          <w:iCs w:val="0"/>
          <w:caps w:val="0"/>
          <w:spacing w:val="0"/>
          <w:sz w:val="32"/>
          <w:szCs w:val="32"/>
        </w:rPr>
        <w:t>年度本部门未发生因公出国（境）费用；未发生公务车购置费；未发生公务车运行维护费（无公务车）。</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shd w:val="clear" w:fill="FFFFFF"/>
          <w:lang w:eastAsia="zh-CN"/>
        </w:rPr>
      </w:pPr>
      <w:r>
        <w:rPr>
          <w:rFonts w:hint="eastAsia" w:ascii="宋体" w:hAnsi="宋体" w:eastAsia="方正仿宋_GBK" w:cs="方正仿宋_GBK"/>
          <w:b w:val="0"/>
          <w:bCs/>
          <w:sz w:val="32"/>
          <w:szCs w:val="32"/>
          <w:shd w:val="clear" w:fill="FFFFFF"/>
        </w:rPr>
        <w:t>公务接待费0.65万元，主要用于接待</w:t>
      </w:r>
      <w:r>
        <w:rPr>
          <w:rFonts w:hint="eastAsia" w:ascii="宋体" w:hAnsi="宋体" w:eastAsia="方正仿宋_GBK" w:cs="方正仿宋_GBK"/>
          <w:b w:val="0"/>
          <w:bCs/>
          <w:color w:val="auto"/>
          <w:sz w:val="32"/>
          <w:szCs w:val="32"/>
          <w:shd w:val="clear" w:fill="FFFFFF"/>
          <w:lang w:eastAsia="zh-CN"/>
        </w:rPr>
        <w:t>市级部门来津考察及重庆交通大学产学研合作项目</w:t>
      </w:r>
      <w:r>
        <w:rPr>
          <w:rFonts w:hint="eastAsia" w:ascii="宋体" w:hAnsi="宋体" w:eastAsia="方正仿宋_GBK" w:cs="方正仿宋_GBK"/>
          <w:b w:val="0"/>
          <w:bCs/>
          <w:color w:val="auto"/>
          <w:sz w:val="32"/>
          <w:szCs w:val="32"/>
          <w:shd w:val="clear" w:fill="FFFFFF"/>
        </w:rPr>
        <w:t>。费用支出较</w:t>
      </w:r>
      <w:r>
        <w:rPr>
          <w:rFonts w:hint="eastAsia" w:ascii="宋体" w:hAnsi="宋体" w:eastAsia="方正仿宋_GBK" w:cs="方正仿宋_GBK"/>
          <w:b w:val="0"/>
          <w:bCs/>
          <w:sz w:val="32"/>
          <w:szCs w:val="32"/>
          <w:shd w:val="clear" w:fill="FFFFFF"/>
        </w:rPr>
        <w:t>年初预算数减少2.35万元，下降78.3%，较上年支出数减少0.86万元，下降57%，主要原因一是严格执行中央八项规定精神，严控接待规格和陪餐人数，二是疫情原因，接待次数相应减少</w:t>
      </w:r>
      <w:r>
        <w:rPr>
          <w:rFonts w:hint="eastAsia" w:ascii="宋体" w:hAnsi="宋体" w:eastAsia="方正仿宋_GBK" w:cs="方正仿宋_GBK"/>
          <w:b w:val="0"/>
          <w:bCs/>
          <w:sz w:val="32"/>
          <w:szCs w:val="32"/>
          <w:shd w:val="clear" w:fill="FFFFFF"/>
          <w:lang w:eastAsia="zh-CN"/>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4"/>
          <w:rFonts w:hint="eastAsia" w:ascii="宋体" w:hAnsi="宋体" w:eastAsia="方正楷体_GBK" w:cs="方正楷体_GBK"/>
          <w:b w:val="0"/>
          <w:bCs/>
          <w:sz w:val="32"/>
          <w:szCs w:val="32"/>
          <w:shd w:val="clear" w:fill="FFFFFF"/>
        </w:rPr>
        <w:t>（三）“三公”经费实物量情况</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shd w:val="clear" w:fill="FFFFFF"/>
        </w:rPr>
        <w:t>2022年度本部门因公出国（境）共计0个团组，0人；公务用车购置0辆，公务车保有量为0辆；国内公务接待9批次52人，其中：国内外事接待0批次，0人；国（境）外公务接待0批次，0人。2022年本部门人均接待费124.33元，车均购置费0.00万元，车均维护费0.00万元。</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黑体_GBK" w:cs="方正黑体_GBK"/>
          <w:b w:val="0"/>
          <w:bCs/>
          <w:sz w:val="32"/>
          <w:szCs w:val="32"/>
        </w:rPr>
      </w:pPr>
      <w:r>
        <w:rPr>
          <w:rStyle w:val="14"/>
          <w:rFonts w:hint="eastAsia" w:ascii="宋体" w:hAnsi="宋体" w:eastAsia="方正黑体_GBK" w:cs="方正黑体_GBK"/>
          <w:b w:val="0"/>
          <w:bCs/>
          <w:sz w:val="32"/>
          <w:szCs w:val="32"/>
          <w:shd w:val="clear" w:fill="FFFFFF"/>
        </w:rPr>
        <w:t>四、其他需要说明的事项</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4"/>
          <w:rFonts w:hint="eastAsia" w:ascii="宋体" w:hAnsi="宋体" w:eastAsia="方正楷体_GBK" w:cs="方正楷体_GBK"/>
          <w:b w:val="0"/>
          <w:bCs/>
          <w:sz w:val="32"/>
          <w:szCs w:val="32"/>
          <w:shd w:val="clear" w:fill="FFFFFF"/>
        </w:rPr>
        <w:t>（一）机关运行经费支出情况说明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Fonts w:hint="eastAsia" w:ascii="宋体" w:hAnsi="宋体" w:eastAsia="方正仿宋_GBK" w:cs="方正仿宋_GBK"/>
          <w:b w:val="0"/>
          <w:bCs/>
          <w:sz w:val="32"/>
          <w:szCs w:val="32"/>
          <w:shd w:val="clear" w:fill="FFFFFF"/>
        </w:rPr>
        <w:t>2022年度本部门机关运行经费支出45.27万元，主要用于开</w:t>
      </w:r>
      <w:r>
        <w:rPr>
          <w:rFonts w:hint="eastAsia" w:ascii="宋体" w:hAnsi="宋体" w:eastAsia="方正仿宋_GBK" w:cs="方正仿宋_GBK"/>
          <w:b w:val="0"/>
          <w:bCs/>
          <w:color w:val="auto"/>
          <w:sz w:val="32"/>
          <w:szCs w:val="32"/>
          <w:shd w:val="clear" w:fill="FFFFFF"/>
        </w:rPr>
        <w:t>支</w:t>
      </w:r>
      <w:r>
        <w:rPr>
          <w:rFonts w:hint="eastAsia" w:ascii="宋体" w:hAnsi="宋体" w:eastAsia="方正仿宋_GBK" w:cs="方正仿宋_GBK"/>
          <w:b w:val="0"/>
          <w:bCs/>
          <w:sz w:val="32"/>
          <w:szCs w:val="32"/>
          <w:shd w:val="clear" w:fill="FFFFFF"/>
        </w:rPr>
        <w:t>办公及印刷费、邮电费、差旅费、会议费、福利费、日常维护费、办公用房水电费、办公用房物业管理费</w:t>
      </w:r>
      <w:r>
        <w:rPr>
          <w:rFonts w:hint="eastAsia" w:ascii="宋体" w:hAnsi="宋体" w:eastAsia="方正仿宋_GBK" w:cs="方正仿宋_GBK"/>
          <w:b w:val="0"/>
          <w:bCs/>
          <w:sz w:val="32"/>
          <w:szCs w:val="32"/>
          <w:shd w:val="clear" w:fill="FFFFFF"/>
          <w:lang w:eastAsia="zh-CN"/>
        </w:rPr>
        <w:t>等</w:t>
      </w:r>
      <w:r>
        <w:rPr>
          <w:rFonts w:hint="eastAsia" w:ascii="宋体" w:hAnsi="宋体" w:eastAsia="方正仿宋_GBK" w:cs="方正仿宋_GBK"/>
          <w:b w:val="0"/>
          <w:bCs/>
          <w:sz w:val="32"/>
          <w:szCs w:val="32"/>
          <w:shd w:val="clear" w:fill="FFFFFF"/>
        </w:rPr>
        <w:t>。机关运行经费较上年决算数减少58.94万元，下降56.6%，主要原因是</w:t>
      </w:r>
      <w:r>
        <w:rPr>
          <w:rFonts w:hint="eastAsia" w:ascii="宋体" w:hAnsi="宋体" w:eastAsia="方正仿宋_GBK" w:cs="方正仿宋_GBK"/>
          <w:b w:val="0"/>
          <w:bCs/>
          <w:color w:val="auto"/>
          <w:sz w:val="32"/>
          <w:szCs w:val="32"/>
          <w:shd w:val="clear" w:fill="FFFFFF"/>
        </w:rPr>
        <w:t>一是建设节约型机关，厉行节俭，减少开支；二是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r>
        <w:rPr>
          <w:rStyle w:val="14"/>
          <w:rFonts w:hint="eastAsia" w:ascii="宋体" w:hAnsi="宋体" w:eastAsia="方正楷体_GBK" w:cs="方正楷体_GBK"/>
          <w:b w:val="0"/>
          <w:bCs/>
          <w:sz w:val="32"/>
          <w:szCs w:val="32"/>
          <w:shd w:val="clear" w:fill="FFFFFF"/>
        </w:rPr>
        <w:t>（二）国有资产占用情况说明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shd w:val="clear" w:fill="FFFFFF"/>
        </w:rPr>
        <w:t>截至2022年12月31日，本部门共有车辆0辆，单价100万元（含）以上设备（不含车辆）0台（套）。</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4"/>
          <w:rFonts w:hint="eastAsia" w:ascii="宋体" w:hAnsi="宋体" w:eastAsia="方正楷体_GBK" w:cs="方正楷体_GBK"/>
          <w:b w:val="0"/>
          <w:bCs/>
          <w:sz w:val="32"/>
          <w:szCs w:val="32"/>
          <w:shd w:val="clear" w:fill="FFFFFF"/>
        </w:rPr>
        <w:t>（三）政府采购支出说明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shd w:val="clear" w:fill="FFFFFF"/>
        </w:rPr>
      </w:pPr>
      <w:r>
        <w:rPr>
          <w:rFonts w:hint="eastAsia" w:ascii="宋体" w:hAnsi="宋体" w:eastAsia="方正仿宋_GBK" w:cs="方正仿宋_GBK"/>
          <w:b w:val="0"/>
          <w:bCs/>
          <w:sz w:val="32"/>
          <w:szCs w:val="32"/>
          <w:shd w:val="clear" w:fill="FFFFFF"/>
        </w:rPr>
        <w:t>2022年度我单位未发生政府采购事项，无相关经费支出。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黑体_GBK" w:cs="方正黑体_GBK"/>
          <w:b w:val="0"/>
          <w:bCs/>
          <w:sz w:val="32"/>
          <w:szCs w:val="32"/>
        </w:rPr>
      </w:pPr>
      <w:r>
        <w:rPr>
          <w:rStyle w:val="14"/>
          <w:rFonts w:hint="eastAsia" w:ascii="宋体" w:hAnsi="宋体" w:eastAsia="方正黑体_GBK" w:cs="方正黑体_GBK"/>
          <w:b w:val="0"/>
          <w:bCs/>
          <w:sz w:val="32"/>
          <w:szCs w:val="32"/>
          <w:shd w:val="clear" w:fill="FFFFFF"/>
        </w:rPr>
        <w:t>五、预算绩效管理情况说明</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Style w:val="14"/>
          <w:rFonts w:hint="eastAsia" w:ascii="宋体" w:hAnsi="宋体" w:eastAsia="方正仿宋_GBK" w:cs="方正仿宋_GBK"/>
          <w:b w:val="0"/>
          <w:bCs/>
          <w:sz w:val="32"/>
          <w:szCs w:val="32"/>
          <w:shd w:val="clear" w:fill="FFFFFF"/>
        </w:rPr>
      </w:pPr>
      <w:r>
        <w:rPr>
          <w:rStyle w:val="14"/>
          <w:rFonts w:hint="eastAsia" w:ascii="宋体" w:hAnsi="宋体" w:eastAsia="方正仿宋_GBK" w:cs="方正仿宋_GBK"/>
          <w:b w:val="0"/>
          <w:bCs/>
          <w:sz w:val="32"/>
          <w:szCs w:val="32"/>
          <w:shd w:val="clear" w:fill="FFFFFF"/>
        </w:rPr>
        <w:t>（一）预算绩效管理工作开展情况</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shd w:val="clear" w:fill="FFFFFF"/>
        </w:rPr>
        <w:t>根据预算绩效管理要求，我局对</w:t>
      </w:r>
      <w:r>
        <w:rPr>
          <w:rFonts w:hint="eastAsia" w:ascii="宋体" w:hAnsi="宋体" w:eastAsia="方正仿宋_GBK" w:cs="方正仿宋_GBK"/>
          <w:b w:val="0"/>
          <w:bCs/>
          <w:color w:val="auto"/>
          <w:sz w:val="32"/>
          <w:szCs w:val="32"/>
          <w:shd w:val="clear" w:fill="FFFFFF"/>
          <w:lang w:val="en-US" w:eastAsia="zh-CN"/>
        </w:rPr>
        <w:t>9</w:t>
      </w:r>
      <w:r>
        <w:rPr>
          <w:rFonts w:hint="eastAsia" w:ascii="宋体" w:hAnsi="宋体" w:eastAsia="方正仿宋_GBK" w:cs="方正仿宋_GBK"/>
          <w:b w:val="0"/>
          <w:bCs/>
          <w:color w:val="auto"/>
          <w:sz w:val="32"/>
          <w:szCs w:val="32"/>
          <w:shd w:val="clear" w:fill="FFFFFF"/>
        </w:rPr>
        <w:t>个项目开展了绩效自评，</w:t>
      </w:r>
      <w:r>
        <w:rPr>
          <w:rFonts w:hint="eastAsia" w:ascii="宋体" w:hAnsi="宋体" w:eastAsia="方正仿宋_GBK" w:cs="方正仿宋_GBK"/>
          <w:b w:val="0"/>
          <w:bCs/>
          <w:color w:val="auto"/>
          <w:sz w:val="32"/>
          <w:szCs w:val="32"/>
          <w:shd w:val="clear" w:fill="FFFFFF"/>
          <w:lang w:eastAsia="zh-CN"/>
        </w:rPr>
        <w:t>主要</w:t>
      </w:r>
      <w:r>
        <w:rPr>
          <w:rFonts w:hint="eastAsia" w:ascii="宋体" w:hAnsi="宋体" w:eastAsia="方正仿宋_GBK" w:cs="方正仿宋_GBK"/>
          <w:b w:val="0"/>
          <w:bCs/>
          <w:color w:val="auto"/>
          <w:sz w:val="32"/>
          <w:szCs w:val="32"/>
          <w:shd w:val="clear" w:fill="FFFFFF"/>
        </w:rPr>
        <w:t>以填报自评表形式开展自评</w:t>
      </w:r>
      <w:r>
        <w:rPr>
          <w:rFonts w:hint="eastAsia" w:ascii="宋体" w:hAnsi="宋体" w:eastAsia="方正仿宋_GBK" w:cs="方正仿宋_GBK"/>
          <w:b w:val="0"/>
          <w:bCs/>
          <w:color w:val="auto"/>
          <w:sz w:val="32"/>
          <w:szCs w:val="32"/>
          <w:shd w:val="clear" w:fill="FFFFFF"/>
          <w:lang w:val="en-US" w:eastAsia="zh-CN"/>
        </w:rPr>
        <w:t>9</w:t>
      </w:r>
      <w:r>
        <w:rPr>
          <w:rFonts w:hint="eastAsia" w:ascii="宋体" w:hAnsi="宋体" w:eastAsia="方正仿宋_GBK" w:cs="方正仿宋_GBK"/>
          <w:b w:val="0"/>
          <w:bCs/>
          <w:color w:val="auto"/>
          <w:sz w:val="32"/>
          <w:szCs w:val="32"/>
          <w:shd w:val="clear" w:fill="FFFFFF"/>
        </w:rPr>
        <w:t>项，涉及资金</w:t>
      </w:r>
      <w:r>
        <w:rPr>
          <w:rFonts w:hint="eastAsia" w:ascii="宋体" w:hAnsi="宋体" w:eastAsia="方正仿宋_GBK" w:cs="方正仿宋_GBK"/>
          <w:b w:val="0"/>
          <w:bCs/>
          <w:color w:val="auto"/>
          <w:sz w:val="32"/>
          <w:szCs w:val="32"/>
          <w:shd w:val="clear" w:fill="FFFFFF"/>
          <w:lang w:val="en-US" w:eastAsia="zh-CN"/>
        </w:rPr>
        <w:t>96.91</w:t>
      </w:r>
      <w:r>
        <w:rPr>
          <w:rFonts w:hint="eastAsia" w:ascii="宋体" w:hAnsi="宋体" w:eastAsia="方正仿宋_GBK" w:cs="方正仿宋_GBK"/>
          <w:b w:val="0"/>
          <w:bCs/>
          <w:color w:val="auto"/>
          <w:sz w:val="32"/>
          <w:szCs w:val="32"/>
          <w:shd w:val="clear" w:fill="FFFFFF"/>
        </w:rPr>
        <w:t>万元</w:t>
      </w:r>
      <w:r>
        <w:rPr>
          <w:rFonts w:hint="eastAsia" w:ascii="宋体" w:hAnsi="宋体" w:eastAsia="方正仿宋_GBK" w:cs="方正仿宋_GBK"/>
          <w:b w:val="0"/>
          <w:bCs/>
          <w:sz w:val="32"/>
          <w:szCs w:val="32"/>
          <w:shd w:val="clear" w:fill="FFFFFF"/>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楷体_GBK" w:cs="方正楷体_GBK"/>
          <w:b w:val="0"/>
          <w:bCs/>
          <w:sz w:val="32"/>
          <w:szCs w:val="32"/>
        </w:rPr>
      </w:pPr>
      <w:r>
        <w:rPr>
          <w:rStyle w:val="14"/>
          <w:rFonts w:hint="eastAsia" w:ascii="宋体" w:hAnsi="宋体" w:eastAsia="方正楷体_GBK" w:cs="方正楷体_GBK"/>
          <w:b w:val="0"/>
          <w:bCs/>
          <w:sz w:val="32"/>
          <w:szCs w:val="32"/>
          <w:shd w:val="clear" w:fill="FFFFFF"/>
        </w:rPr>
        <w:t>（二）绩效自评结果</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仿宋_GBK" w:cs="方正仿宋_GBK"/>
          <w:b w:val="0"/>
          <w:bCs/>
          <w:sz w:val="32"/>
          <w:szCs w:val="32"/>
          <w:shd w:val="clear" w:fill="FFFFFF"/>
        </w:rPr>
        <w:t>1.绩效目标自评表。</w:t>
      </w:r>
    </w:p>
    <w:p>
      <w:pPr>
        <w:pStyle w:val="15"/>
        <w:tabs>
          <w:tab w:val="center" w:pos="4153"/>
          <w:tab w:val="left" w:pos="7275"/>
        </w:tabs>
        <w:spacing w:line="600" w:lineRule="exact"/>
        <w:ind w:firstLine="0" w:firstLineChars="0"/>
        <w:jc w:val="center"/>
        <w:rPr>
          <w:rFonts w:hint="eastAsia" w:ascii="宋体" w:hAnsi="宋体" w:eastAsia="方正小标宋_GBK" w:cs="宋体"/>
          <w:color w:val="000000"/>
          <w:kern w:val="0"/>
          <w:sz w:val="36"/>
          <w:szCs w:val="36"/>
          <w:shd w:val="clear" w:color="auto" w:fill="auto"/>
        </w:rPr>
      </w:pPr>
      <w:r>
        <w:rPr>
          <w:rFonts w:hint="eastAsia" w:ascii="宋体" w:hAnsi="宋体" w:eastAsia="方正小标宋_GBK" w:cs="宋体"/>
          <w:color w:val="000000"/>
          <w:kern w:val="0"/>
          <w:sz w:val="36"/>
          <w:szCs w:val="36"/>
          <w:shd w:val="clear" w:color="auto" w:fill="auto"/>
          <w:lang w:val="en-US" w:eastAsia="zh-CN"/>
        </w:rPr>
        <w:t>2022年度项目</w:t>
      </w:r>
      <w:r>
        <w:rPr>
          <w:rFonts w:hint="eastAsia" w:ascii="宋体" w:hAnsi="宋体" w:eastAsia="方正小标宋_GBK" w:cs="宋体"/>
          <w:color w:val="000000"/>
          <w:kern w:val="0"/>
          <w:sz w:val="36"/>
          <w:szCs w:val="36"/>
          <w:shd w:val="clear" w:color="auto" w:fill="auto"/>
        </w:rPr>
        <w:t>绩效自评表</w:t>
      </w:r>
    </w:p>
    <w:tbl>
      <w:tblPr>
        <w:tblStyle w:val="12"/>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056"/>
        <w:gridCol w:w="750"/>
        <w:gridCol w:w="675"/>
        <w:gridCol w:w="58"/>
        <w:gridCol w:w="782"/>
        <w:gridCol w:w="264"/>
        <w:gridCol w:w="531"/>
        <w:gridCol w:w="885"/>
        <w:gridCol w:w="1275"/>
        <w:gridCol w:w="1440"/>
        <w:gridCol w:w="750"/>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项目</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名称</w:t>
            </w:r>
          </w:p>
        </w:tc>
        <w:tc>
          <w:tcPr>
            <w:tcW w:w="3585" w:type="dxa"/>
            <w:gridSpan w:val="6"/>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lang w:eastAsia="zh-CN"/>
              </w:rPr>
              <w:t>创新主体培育项目</w:t>
            </w:r>
          </w:p>
        </w:tc>
        <w:tc>
          <w:tcPr>
            <w:tcW w:w="1416" w:type="dxa"/>
            <w:gridSpan w:val="2"/>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自评</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总分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c>
          <w:tcPr>
            <w:tcW w:w="4284" w:type="dxa"/>
            <w:gridSpan w:val="4"/>
            <w:tcBorders>
              <w:tl2br w:val="nil"/>
              <w:tr2bl w:val="nil"/>
            </w:tcBorders>
            <w:noWrap w:val="0"/>
            <w:vAlign w:val="center"/>
          </w:tcPr>
          <w:p>
            <w:pPr>
              <w:widowControl/>
              <w:spacing w:line="300" w:lineRule="exact"/>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lang w:val="en-US" w:eastAsia="zh-CN"/>
              </w:rPr>
              <w:t>项目</w:t>
            </w:r>
            <w:r>
              <w:rPr>
                <w:rFonts w:hint="eastAsia" w:ascii="宋体" w:hAnsi="宋体" w:eastAsia="方正仿宋_GBK" w:cs="宋体"/>
                <w:color w:val="000000"/>
                <w:kern w:val="0"/>
                <w:sz w:val="24"/>
                <w:szCs w:val="24"/>
                <w:shd w:val="clear" w:color="auto" w:fill="auto"/>
              </w:rPr>
              <w:t>主管</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部门</w:t>
            </w:r>
          </w:p>
        </w:tc>
        <w:tc>
          <w:tcPr>
            <w:tcW w:w="1806"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方正仿宋_GBK" w:cs="宋体"/>
                <w:color w:val="000000"/>
                <w:kern w:val="0"/>
                <w:sz w:val="24"/>
                <w:szCs w:val="24"/>
                <w:shd w:val="clear" w:color="auto" w:fill="auto"/>
                <w:lang w:eastAsia="zh-CN"/>
              </w:rPr>
              <w:t>区科技局</w:t>
            </w:r>
          </w:p>
        </w:tc>
        <w:tc>
          <w:tcPr>
            <w:tcW w:w="733"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财政归口科室</w:t>
            </w:r>
          </w:p>
        </w:tc>
        <w:tc>
          <w:tcPr>
            <w:tcW w:w="1046"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方正仿宋_GBK" w:cs="宋体"/>
                <w:color w:val="000000"/>
                <w:kern w:val="0"/>
                <w:sz w:val="24"/>
                <w:szCs w:val="24"/>
                <w:shd w:val="clear" w:color="auto" w:fill="auto"/>
                <w:lang w:eastAsia="zh-CN"/>
              </w:rPr>
              <w:t>教科文科</w:t>
            </w:r>
          </w:p>
        </w:tc>
        <w:tc>
          <w:tcPr>
            <w:tcW w:w="1416"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项目</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联系人</w:t>
            </w:r>
          </w:p>
        </w:tc>
        <w:tc>
          <w:tcPr>
            <w:tcW w:w="1275"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方正仿宋_GBK" w:cs="宋体"/>
                <w:color w:val="000000"/>
                <w:kern w:val="0"/>
                <w:sz w:val="24"/>
                <w:szCs w:val="24"/>
                <w:shd w:val="clear" w:color="auto" w:fill="auto"/>
                <w:lang w:eastAsia="zh-CN"/>
              </w:rPr>
              <w:t>刁传奇</w:t>
            </w:r>
          </w:p>
        </w:tc>
        <w:tc>
          <w:tcPr>
            <w:tcW w:w="1440"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联系电话</w:t>
            </w:r>
          </w:p>
        </w:tc>
        <w:tc>
          <w:tcPr>
            <w:tcW w:w="1569" w:type="dxa"/>
            <w:gridSpan w:val="2"/>
            <w:tcBorders>
              <w:tl2br w:val="nil"/>
              <w:tr2bl w:val="nil"/>
            </w:tcBorders>
            <w:noWrap w:val="0"/>
            <w:vAlign w:val="center"/>
          </w:tcPr>
          <w:p>
            <w:pPr>
              <w:widowControl/>
              <w:spacing w:line="300" w:lineRule="exact"/>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13883680658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项目资金（万元）</w:t>
            </w:r>
          </w:p>
        </w:tc>
        <w:tc>
          <w:tcPr>
            <w:tcW w:w="1806" w:type="dxa"/>
            <w:gridSpan w:val="2"/>
            <w:vMerge w:val="restart"/>
            <w:tcBorders>
              <w:tl2br w:val="nil"/>
              <w:tr2bl w:val="nil"/>
            </w:tcBorders>
            <w:noWrap w:val="0"/>
            <w:vAlign w:val="center"/>
          </w:tcPr>
          <w:p>
            <w:pPr>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年度总金额</w:t>
            </w:r>
          </w:p>
        </w:tc>
        <w:tc>
          <w:tcPr>
            <w:tcW w:w="733" w:type="dxa"/>
            <w:gridSpan w:val="2"/>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年初</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预算数</w:t>
            </w:r>
          </w:p>
        </w:tc>
        <w:tc>
          <w:tcPr>
            <w:tcW w:w="1046"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全年（调整）预算数</w:t>
            </w:r>
          </w:p>
        </w:tc>
        <w:tc>
          <w:tcPr>
            <w:tcW w:w="2691" w:type="dxa"/>
            <w:gridSpan w:val="3"/>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全年执行数</w:t>
            </w:r>
          </w:p>
        </w:tc>
        <w:tc>
          <w:tcPr>
            <w:tcW w:w="1440"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执行率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w:t>
            </w:r>
          </w:p>
        </w:tc>
        <w:tc>
          <w:tcPr>
            <w:tcW w:w="750"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执行率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权重</w:t>
            </w:r>
          </w:p>
        </w:tc>
        <w:tc>
          <w:tcPr>
            <w:tcW w:w="819"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执行率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得分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806" w:type="dxa"/>
            <w:gridSpan w:val="2"/>
            <w:vMerge w:val="continue"/>
            <w:tcBorders>
              <w:tl2br w:val="nil"/>
              <w:tr2bl w:val="nil"/>
            </w:tcBorders>
            <w:noWrap w:val="0"/>
            <w:vAlign w:val="center"/>
          </w:tcPr>
          <w:p>
            <w:pPr>
              <w:spacing w:line="300" w:lineRule="exact"/>
              <w:jc w:val="center"/>
              <w:rPr>
                <w:rFonts w:hint="eastAsia" w:ascii="宋体" w:hAnsi="宋体" w:eastAsia="方正仿宋_GBK" w:cs="宋体"/>
                <w:color w:val="000000"/>
                <w:kern w:val="0"/>
                <w:sz w:val="24"/>
                <w:szCs w:val="24"/>
                <w:shd w:val="clear" w:color="auto" w:fill="auto"/>
              </w:rPr>
            </w:pPr>
          </w:p>
        </w:tc>
        <w:tc>
          <w:tcPr>
            <w:tcW w:w="733"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10</w:t>
            </w:r>
          </w:p>
        </w:tc>
        <w:tc>
          <w:tcPr>
            <w:tcW w:w="1046"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10</w:t>
            </w:r>
          </w:p>
        </w:tc>
        <w:tc>
          <w:tcPr>
            <w:tcW w:w="2691" w:type="dxa"/>
            <w:gridSpan w:val="3"/>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10</w:t>
            </w:r>
          </w:p>
        </w:tc>
        <w:tc>
          <w:tcPr>
            <w:tcW w:w="1440" w:type="dxa"/>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p>
        </w:tc>
        <w:tc>
          <w:tcPr>
            <w:tcW w:w="750" w:type="dxa"/>
            <w:tcBorders>
              <w:tl2br w:val="nil"/>
              <w:tr2bl w:val="nil"/>
            </w:tcBorders>
            <w:noWrap w:val="0"/>
            <w:vAlign w:val="center"/>
          </w:tcPr>
          <w:p>
            <w:pPr>
              <w:widowControl/>
              <w:spacing w:line="300" w:lineRule="exact"/>
              <w:jc w:val="center"/>
              <w:rPr>
                <w:rFonts w:hint="default" w:ascii="宋体" w:hAnsi="宋体" w:eastAsia="方正仿宋_GBK" w:cs="宋体"/>
                <w:kern w:val="0"/>
                <w:sz w:val="24"/>
                <w:szCs w:val="24"/>
                <w:shd w:val="clear" w:color="auto" w:fill="auto"/>
                <w:lang w:val="en-US" w:eastAsia="zh-CN"/>
              </w:rPr>
            </w:pPr>
          </w:p>
        </w:tc>
        <w:tc>
          <w:tcPr>
            <w:tcW w:w="819" w:type="dxa"/>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806" w:type="dxa"/>
            <w:gridSpan w:val="2"/>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其中：</w:t>
            </w:r>
          </w:p>
          <w:p>
            <w:pPr>
              <w:widowControl/>
              <w:spacing w:line="300" w:lineRule="exact"/>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财政拨款</w:t>
            </w:r>
          </w:p>
        </w:tc>
        <w:tc>
          <w:tcPr>
            <w:tcW w:w="733"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
              </w:rPr>
            </w:pPr>
            <w:r>
              <w:rPr>
                <w:rFonts w:hint="eastAsia" w:ascii="宋体" w:hAnsi="宋体" w:eastAsia="方正仿宋_GBK" w:cs="宋体"/>
                <w:color w:val="000000"/>
                <w:kern w:val="0"/>
                <w:sz w:val="24"/>
                <w:szCs w:val="24"/>
                <w:shd w:val="clear" w:color="auto" w:fill="auto"/>
                <w:lang w:val="en-US" w:eastAsia="zh-CN"/>
              </w:rPr>
              <w:t>10</w:t>
            </w:r>
          </w:p>
        </w:tc>
        <w:tc>
          <w:tcPr>
            <w:tcW w:w="1046"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
              </w:rPr>
            </w:pPr>
            <w:r>
              <w:rPr>
                <w:rFonts w:hint="eastAsia" w:ascii="宋体" w:hAnsi="宋体" w:eastAsia="方正仿宋_GBK" w:cs="宋体"/>
                <w:color w:val="000000"/>
                <w:kern w:val="0"/>
                <w:sz w:val="24"/>
                <w:szCs w:val="24"/>
                <w:shd w:val="clear" w:color="auto" w:fill="auto"/>
                <w:lang w:val="en-US" w:eastAsia="zh-CN"/>
              </w:rPr>
              <w:t>10</w:t>
            </w:r>
          </w:p>
        </w:tc>
        <w:tc>
          <w:tcPr>
            <w:tcW w:w="2691" w:type="dxa"/>
            <w:gridSpan w:val="3"/>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
              </w:rPr>
            </w:pPr>
            <w:r>
              <w:rPr>
                <w:rFonts w:hint="eastAsia" w:ascii="宋体" w:hAnsi="宋体" w:eastAsia="方正仿宋_GBK" w:cs="宋体"/>
                <w:color w:val="000000"/>
                <w:kern w:val="0"/>
                <w:sz w:val="24"/>
                <w:szCs w:val="24"/>
                <w:shd w:val="clear" w:color="auto" w:fill="auto"/>
                <w:lang w:val="en-US" w:eastAsia="zh-CN"/>
              </w:rPr>
              <w:t>10</w:t>
            </w:r>
          </w:p>
        </w:tc>
        <w:tc>
          <w:tcPr>
            <w:tcW w:w="1440"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
              </w:rPr>
            </w:pPr>
            <w:r>
              <w:rPr>
                <w:rFonts w:hint="eastAsia" w:ascii="宋体" w:hAnsi="宋体" w:eastAsia="方正仿宋_GBK" w:cs="宋体"/>
                <w:color w:val="000000"/>
                <w:kern w:val="0"/>
                <w:sz w:val="24"/>
                <w:szCs w:val="24"/>
                <w:shd w:val="clear" w:color="auto" w:fill="auto"/>
                <w:lang w:val="en-US" w:eastAsia="zh-CN"/>
              </w:rPr>
              <w:t>100</w:t>
            </w:r>
          </w:p>
        </w:tc>
        <w:tc>
          <w:tcPr>
            <w:tcW w:w="750" w:type="dxa"/>
            <w:tcBorders>
              <w:tl2br w:val="nil"/>
              <w:tr2bl w:val="nil"/>
            </w:tcBorders>
            <w:noWrap w:val="0"/>
            <w:vAlign w:val="center"/>
          </w:tcPr>
          <w:p>
            <w:pPr>
              <w:widowControl/>
              <w:spacing w:line="300" w:lineRule="exact"/>
              <w:jc w:val="center"/>
              <w:rPr>
                <w:rFonts w:hint="eastAsia" w:ascii="宋体" w:hAnsi="宋体" w:eastAsia="方正仿宋_GBK" w:cs="宋体"/>
                <w:kern w:val="0"/>
                <w:sz w:val="24"/>
                <w:szCs w:val="24"/>
                <w:shd w:val="clear" w:color="auto" w:fill="auto"/>
                <w:lang w:val="en-US" w:eastAsia="zh-CN" w:bidi="ar"/>
              </w:rPr>
            </w:pPr>
            <w:r>
              <w:rPr>
                <w:rFonts w:hint="eastAsia" w:ascii="宋体" w:hAnsi="宋体" w:eastAsia="方正仿宋_GBK" w:cs="宋体"/>
                <w:kern w:val="0"/>
                <w:sz w:val="24"/>
                <w:szCs w:val="24"/>
                <w:shd w:val="clear" w:color="auto" w:fill="auto"/>
                <w:lang w:val="en-US" w:eastAsia="zh-CN"/>
              </w:rPr>
              <w:t>10</w:t>
            </w:r>
          </w:p>
        </w:tc>
        <w:tc>
          <w:tcPr>
            <w:tcW w:w="81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
              </w:rPr>
            </w:pPr>
            <w:r>
              <w:rPr>
                <w:rFonts w:hint="eastAsia" w:ascii="宋体" w:hAnsi="宋体" w:eastAsia="方正仿宋_GBK" w:cs="宋体"/>
                <w:color w:val="000000"/>
                <w:kern w:val="0"/>
                <w:sz w:val="24"/>
                <w:szCs w:val="24"/>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当年绩效目标</w:t>
            </w:r>
          </w:p>
        </w:tc>
        <w:tc>
          <w:tcPr>
            <w:tcW w:w="6276" w:type="dxa"/>
            <w:gridSpan w:val="9"/>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年初绩效目标</w:t>
            </w:r>
          </w:p>
        </w:tc>
        <w:tc>
          <w:tcPr>
            <w:tcW w:w="3009" w:type="dxa"/>
            <w:gridSpan w:val="3"/>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6276" w:type="dxa"/>
            <w:gridSpan w:val="9"/>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组织企业针对高新技术企业、科技型企业、创新平台等创新主体的培育，集中开展业务培训不低于1次；走访企业、高校、科研院所，开展政策宣传及主体培育业务指导，走访量达到120家以上；组织企业开展交流对接活动不低于2次；新培育高新技术企业不低于20家，科技型企业不低于200家，新培育市级及以上创新平台不低于5个。</w:t>
            </w:r>
          </w:p>
          <w:p>
            <w:pPr>
              <w:widowControl/>
              <w:spacing w:line="300" w:lineRule="exact"/>
              <w:rPr>
                <w:rFonts w:hint="eastAsia" w:ascii="宋体" w:hAnsi="宋体" w:eastAsia="方正仿宋_GBK" w:cs="宋体"/>
                <w:color w:val="000000"/>
                <w:kern w:val="0"/>
                <w:sz w:val="24"/>
                <w:szCs w:val="24"/>
                <w:shd w:val="clear" w:color="auto" w:fill="auto"/>
              </w:rPr>
            </w:pPr>
          </w:p>
        </w:tc>
        <w:tc>
          <w:tcPr>
            <w:tcW w:w="3009" w:type="dxa"/>
            <w:gridSpan w:val="3"/>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全年针对开展创新主体的培育，集中开展业务培训2次；走访企业、高校、科</w:t>
            </w:r>
            <w:bookmarkStart w:id="0" w:name="_GoBack"/>
            <w:bookmarkEnd w:id="0"/>
            <w:r>
              <w:rPr>
                <w:rFonts w:hint="eastAsia" w:ascii="宋体" w:hAnsi="宋体" w:eastAsia="方正仿宋_GBK" w:cs="宋体"/>
                <w:color w:val="000000"/>
                <w:kern w:val="0"/>
                <w:sz w:val="24"/>
                <w:szCs w:val="24"/>
                <w:shd w:val="clear" w:color="auto" w:fill="auto"/>
              </w:rPr>
              <w:t>研院所，开展政策宣传及主体培育业务指导，走访量达到123家；组织规上科技服务业企业及部分高新技术企业开展交流对接2次；新培育高新技术企业62家，科技型企业202家，新培育市级及以上创新平台不低于13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绩效指标</w:t>
            </w:r>
          </w:p>
        </w:tc>
        <w:tc>
          <w:tcPr>
            <w:tcW w:w="1056"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名称</w:t>
            </w:r>
          </w:p>
        </w:tc>
        <w:tc>
          <w:tcPr>
            <w:tcW w:w="750"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计量</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单位</w:t>
            </w:r>
          </w:p>
        </w:tc>
        <w:tc>
          <w:tcPr>
            <w:tcW w:w="675"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性质</w:t>
            </w:r>
          </w:p>
        </w:tc>
        <w:tc>
          <w:tcPr>
            <w:tcW w:w="840" w:type="dxa"/>
            <w:gridSpan w:val="2"/>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值</w:t>
            </w:r>
          </w:p>
        </w:tc>
        <w:tc>
          <w:tcPr>
            <w:tcW w:w="795"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完成值</w:t>
            </w:r>
          </w:p>
        </w:tc>
        <w:tc>
          <w:tcPr>
            <w:tcW w:w="885"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偏离度（%）</w:t>
            </w:r>
          </w:p>
        </w:tc>
        <w:tc>
          <w:tcPr>
            <w:tcW w:w="1275"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得分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系数</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w:t>
            </w:r>
          </w:p>
        </w:tc>
        <w:tc>
          <w:tcPr>
            <w:tcW w:w="1440"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权重</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c>
          <w:tcPr>
            <w:tcW w:w="1569"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指标得分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0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开展对接交流数量</w:t>
            </w:r>
          </w:p>
        </w:tc>
        <w:tc>
          <w:tcPr>
            <w:tcW w:w="75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lang w:eastAsia="zh-CN"/>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67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40"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795"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88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75"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color w:val="000000"/>
                <w:kern w:val="0"/>
                <w:sz w:val="24"/>
                <w:szCs w:val="24"/>
                <w:shd w:val="clear" w:color="auto" w:fill="auto"/>
                <w:lang w:val="en-US" w:eastAsia="zh-CN"/>
              </w:rPr>
              <w:t>100</w:t>
            </w:r>
          </w:p>
        </w:tc>
        <w:tc>
          <w:tcPr>
            <w:tcW w:w="144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56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0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开展培训数量</w:t>
            </w:r>
          </w:p>
        </w:tc>
        <w:tc>
          <w:tcPr>
            <w:tcW w:w="75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次</w:t>
            </w:r>
          </w:p>
        </w:tc>
        <w:tc>
          <w:tcPr>
            <w:tcW w:w="67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40"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w:t>
            </w:r>
          </w:p>
        </w:tc>
        <w:tc>
          <w:tcPr>
            <w:tcW w:w="795"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2</w:t>
            </w:r>
          </w:p>
        </w:tc>
        <w:tc>
          <w:tcPr>
            <w:tcW w:w="88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75"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color w:val="000000"/>
                <w:kern w:val="0"/>
                <w:sz w:val="24"/>
                <w:szCs w:val="24"/>
                <w:shd w:val="clear" w:color="auto" w:fill="auto"/>
                <w:lang w:val="en-US" w:eastAsia="zh-CN"/>
              </w:rPr>
              <w:t>100</w:t>
            </w:r>
          </w:p>
        </w:tc>
        <w:tc>
          <w:tcPr>
            <w:tcW w:w="144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56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0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走访数量</w:t>
            </w:r>
          </w:p>
        </w:tc>
        <w:tc>
          <w:tcPr>
            <w:tcW w:w="75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家</w:t>
            </w:r>
          </w:p>
        </w:tc>
        <w:tc>
          <w:tcPr>
            <w:tcW w:w="67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40"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120</w:t>
            </w:r>
          </w:p>
        </w:tc>
        <w:tc>
          <w:tcPr>
            <w:tcW w:w="795"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123</w:t>
            </w:r>
          </w:p>
        </w:tc>
        <w:tc>
          <w:tcPr>
            <w:tcW w:w="88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75"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color w:val="000000"/>
                <w:kern w:val="0"/>
                <w:sz w:val="24"/>
                <w:szCs w:val="24"/>
                <w:shd w:val="clear" w:color="auto" w:fill="auto"/>
                <w:lang w:val="en-US" w:eastAsia="zh-CN"/>
              </w:rPr>
              <w:t>100</w:t>
            </w:r>
          </w:p>
        </w:tc>
        <w:tc>
          <w:tcPr>
            <w:tcW w:w="144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56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0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新培育高新技术企业数量</w:t>
            </w:r>
          </w:p>
        </w:tc>
        <w:tc>
          <w:tcPr>
            <w:tcW w:w="75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家</w:t>
            </w:r>
          </w:p>
        </w:tc>
        <w:tc>
          <w:tcPr>
            <w:tcW w:w="67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40"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60</w:t>
            </w:r>
          </w:p>
        </w:tc>
        <w:tc>
          <w:tcPr>
            <w:tcW w:w="795"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62</w:t>
            </w:r>
          </w:p>
        </w:tc>
        <w:tc>
          <w:tcPr>
            <w:tcW w:w="88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75"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color w:val="000000"/>
                <w:kern w:val="0"/>
                <w:sz w:val="24"/>
                <w:szCs w:val="24"/>
                <w:shd w:val="clear" w:color="auto" w:fill="auto"/>
                <w:lang w:val="en-US" w:eastAsia="zh-CN"/>
              </w:rPr>
              <w:t>100</w:t>
            </w:r>
          </w:p>
        </w:tc>
        <w:tc>
          <w:tcPr>
            <w:tcW w:w="144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c>
          <w:tcPr>
            <w:tcW w:w="156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0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新培育科技型企业数量</w:t>
            </w:r>
          </w:p>
        </w:tc>
        <w:tc>
          <w:tcPr>
            <w:tcW w:w="75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lang w:eastAsia="zh-CN"/>
              </w:rPr>
            </w:pPr>
            <w:r>
              <w:rPr>
                <w:rFonts w:hint="eastAsia" w:ascii="方正仿宋_GBK" w:hAnsi="方正仿宋_GBK" w:eastAsia="方正仿宋_GBK" w:cs="方正仿宋_GBK"/>
                <w:i w:val="0"/>
                <w:iCs w:val="0"/>
                <w:color w:val="000000"/>
                <w:kern w:val="0"/>
                <w:sz w:val="22"/>
                <w:szCs w:val="22"/>
                <w:u w:val="none"/>
                <w:lang w:val="en-US" w:eastAsia="zh-CN" w:bidi="ar"/>
              </w:rPr>
              <w:t>家</w:t>
            </w:r>
          </w:p>
        </w:tc>
        <w:tc>
          <w:tcPr>
            <w:tcW w:w="67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40"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200</w:t>
            </w:r>
          </w:p>
        </w:tc>
        <w:tc>
          <w:tcPr>
            <w:tcW w:w="795"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202</w:t>
            </w:r>
          </w:p>
        </w:tc>
        <w:tc>
          <w:tcPr>
            <w:tcW w:w="88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75"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color w:val="000000"/>
                <w:kern w:val="0"/>
                <w:sz w:val="24"/>
                <w:szCs w:val="24"/>
                <w:shd w:val="clear" w:color="auto" w:fill="auto"/>
                <w:lang w:val="en-US" w:eastAsia="zh-CN"/>
              </w:rPr>
              <w:t>100</w:t>
            </w:r>
          </w:p>
        </w:tc>
        <w:tc>
          <w:tcPr>
            <w:tcW w:w="144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56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0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新培育市级及以上创新平台数量</w:t>
            </w:r>
          </w:p>
        </w:tc>
        <w:tc>
          <w:tcPr>
            <w:tcW w:w="75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个</w:t>
            </w:r>
          </w:p>
        </w:tc>
        <w:tc>
          <w:tcPr>
            <w:tcW w:w="67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40"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5</w:t>
            </w:r>
          </w:p>
        </w:tc>
        <w:tc>
          <w:tcPr>
            <w:tcW w:w="795"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13</w:t>
            </w:r>
          </w:p>
        </w:tc>
        <w:tc>
          <w:tcPr>
            <w:tcW w:w="88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75"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color w:val="000000"/>
                <w:kern w:val="0"/>
                <w:sz w:val="24"/>
                <w:szCs w:val="24"/>
                <w:shd w:val="clear" w:color="auto" w:fill="auto"/>
                <w:lang w:val="en-US" w:eastAsia="zh-CN"/>
              </w:rPr>
              <w:t>100</w:t>
            </w:r>
          </w:p>
        </w:tc>
        <w:tc>
          <w:tcPr>
            <w:tcW w:w="144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56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lang w:val="en-US" w:eastAsia="zh-CN"/>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0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企业满意度</w:t>
            </w:r>
          </w:p>
        </w:tc>
        <w:tc>
          <w:tcPr>
            <w:tcW w:w="75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67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i w:val="0"/>
                <w:iCs w:val="0"/>
                <w:color w:val="000000"/>
                <w:kern w:val="0"/>
                <w:sz w:val="20"/>
                <w:szCs w:val="20"/>
                <w:u w:val="none"/>
                <w:shd w:val="clear" w:color="auto" w:fill="auto"/>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w:t>
            </w:r>
          </w:p>
        </w:tc>
        <w:tc>
          <w:tcPr>
            <w:tcW w:w="840"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80</w:t>
            </w:r>
          </w:p>
        </w:tc>
        <w:tc>
          <w:tcPr>
            <w:tcW w:w="795"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90</w:t>
            </w:r>
          </w:p>
        </w:tc>
        <w:tc>
          <w:tcPr>
            <w:tcW w:w="885"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color w:val="000000"/>
                <w:kern w:val="0"/>
                <w:sz w:val="24"/>
                <w:szCs w:val="24"/>
                <w:shd w:val="clear" w:color="auto" w:fill="auto"/>
              </w:rPr>
            </w:pPr>
            <w:r>
              <w:rPr>
                <w:rFonts w:hint="eastAsia" w:ascii="方正仿宋_GBK" w:hAnsi="方正仿宋_GBK" w:eastAsia="方正仿宋_GBK" w:cs="方正仿宋_GBK"/>
                <w:i w:val="0"/>
                <w:iCs w:val="0"/>
                <w:color w:val="000000"/>
                <w:kern w:val="0"/>
                <w:sz w:val="22"/>
                <w:szCs w:val="22"/>
                <w:u w:val="none"/>
                <w:lang w:val="en-US" w:eastAsia="zh-CN" w:bidi="ar"/>
              </w:rPr>
              <w:t>0</w:t>
            </w:r>
          </w:p>
        </w:tc>
        <w:tc>
          <w:tcPr>
            <w:tcW w:w="1275" w:type="dxa"/>
            <w:tcBorders>
              <w:tl2br w:val="nil"/>
              <w:tr2bl w:val="nil"/>
            </w:tcBorders>
            <w:noWrap w:val="0"/>
            <w:vAlign w:val="center"/>
          </w:tcPr>
          <w:p>
            <w:pPr>
              <w:widowControl/>
              <w:spacing w:line="300" w:lineRule="exact"/>
              <w:jc w:val="center"/>
              <w:rPr>
                <w:rFonts w:hint="eastAsia" w:ascii="方正仿宋_GBK" w:hAnsi="方正仿宋_GBK" w:eastAsia="方正仿宋_GBK" w:cs="方正仿宋_GBK"/>
                <w:color w:val="000000"/>
                <w:kern w:val="0"/>
                <w:sz w:val="24"/>
                <w:szCs w:val="24"/>
                <w:shd w:val="clear" w:color="auto" w:fill="auto"/>
                <w:lang w:val="en-US" w:eastAsia="zh-CN"/>
              </w:rPr>
            </w:pPr>
          </w:p>
        </w:tc>
        <w:tc>
          <w:tcPr>
            <w:tcW w:w="1440" w:type="dxa"/>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c>
          <w:tcPr>
            <w:tcW w:w="1569" w:type="dxa"/>
            <w:gridSpan w:val="2"/>
            <w:tcBorders>
              <w:tl2br w:val="nil"/>
              <w:tr2bl w:val="nil"/>
            </w:tcBorders>
            <w:noWrap w:val="0"/>
            <w:vAlign w:val="center"/>
          </w:tcPr>
          <w:p>
            <w:pPr>
              <w:keepNext w:val="0"/>
              <w:keepLines w:val="0"/>
              <w:widowControl/>
              <w:suppressLineNumbers w:val="0"/>
              <w:ind w:firstLine="220" w:firstLineChars="100"/>
              <w:jc w:val="center"/>
              <w:textAlignment w:val="center"/>
              <w:rPr>
                <w:rFonts w:hint="eastAsia" w:ascii="方正仿宋_GBK" w:hAnsi="方正仿宋_GBK" w:eastAsia="方正仿宋_GBK" w:cs="方正仿宋_GBK"/>
                <w:i w:val="0"/>
                <w:iCs w:val="0"/>
                <w:color w:val="000000"/>
                <w:kern w:val="0"/>
                <w:sz w:val="22"/>
                <w:szCs w:val="22"/>
                <w:u w:val="none"/>
                <w:lang w:val="en-US" w:eastAsia="zh-CN" w:bidi="ar"/>
              </w:rPr>
            </w:pPr>
            <w:r>
              <w:rPr>
                <w:rFonts w:hint="eastAsia" w:ascii="方正仿宋_GBK" w:hAnsi="方正仿宋_GBK" w:eastAsia="方正仿宋_GBK" w:cs="方正仿宋_GBK"/>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说明</w:t>
            </w:r>
          </w:p>
        </w:tc>
        <w:tc>
          <w:tcPr>
            <w:tcW w:w="9285" w:type="dxa"/>
            <w:gridSpan w:val="12"/>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p>
        </w:tc>
      </w:tr>
    </w:tbl>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4"/>
          <w:rFonts w:hint="eastAsia" w:ascii="宋体" w:hAnsi="宋体" w:eastAsia="方正仿宋_GBK" w:cs="方正仿宋_GBK"/>
          <w:b w:val="0"/>
          <w:bCs/>
          <w:vanish w:val="0"/>
          <w:sz w:val="32"/>
          <w:szCs w:val="32"/>
          <w:shd w:val="clear" w:color="auto" w:fill="auto"/>
        </w:rPr>
      </w:pPr>
      <w:r>
        <w:rPr>
          <w:rStyle w:val="14"/>
          <w:rFonts w:hint="eastAsia" w:ascii="宋体" w:hAnsi="宋体" w:eastAsia="方正仿宋_GBK" w:cs="方正仿宋_GBK"/>
          <w:b w:val="0"/>
          <w:bCs/>
          <w:vanish w:val="0"/>
          <w:sz w:val="32"/>
          <w:szCs w:val="32"/>
          <w:shd w:val="clear" w:color="auto" w:fill="auto"/>
          <w:lang w:val="en-US" w:eastAsia="zh-CN"/>
        </w:rPr>
        <w:t>2.</w:t>
      </w:r>
      <w:r>
        <w:rPr>
          <w:rStyle w:val="14"/>
          <w:rFonts w:hint="eastAsia" w:ascii="宋体" w:hAnsi="宋体" w:eastAsia="方正仿宋_GBK" w:cs="方正仿宋_GBK"/>
          <w:b w:val="0"/>
          <w:bCs/>
          <w:vanish w:val="0"/>
          <w:sz w:val="32"/>
          <w:szCs w:val="32"/>
          <w:shd w:val="clear" w:color="auto" w:fill="auto"/>
        </w:rPr>
        <w:t>绩效自评报告或案例</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i w:val="0"/>
          <w:iCs w:val="0"/>
          <w:caps w:val="0"/>
          <w:spacing w:val="0"/>
          <w:sz w:val="32"/>
          <w:szCs w:val="32"/>
          <w:shd w:val="clear" w:color="auto" w:fill="auto"/>
        </w:rPr>
      </w:pPr>
      <w:r>
        <w:rPr>
          <w:rFonts w:hint="eastAsia" w:ascii="宋体" w:hAnsi="宋体" w:eastAsia="方正仿宋_GBK" w:cs="方正仿宋_GBK"/>
          <w:i w:val="0"/>
          <w:iCs w:val="0"/>
          <w:caps w:val="0"/>
          <w:spacing w:val="0"/>
          <w:sz w:val="32"/>
          <w:szCs w:val="32"/>
          <w:shd w:val="clear" w:color="auto" w:fill="auto"/>
        </w:rPr>
        <w:t>本年度我局未委托第三方开展绩效自评</w:t>
      </w:r>
      <w:r>
        <w:rPr>
          <w:rFonts w:hint="eastAsia" w:ascii="宋体" w:hAnsi="宋体" w:eastAsia="方正仿宋_GBK" w:cs="方正仿宋_GBK"/>
          <w:i w:val="0"/>
          <w:iCs w:val="0"/>
          <w:caps w:val="0"/>
          <w:spacing w:val="0"/>
          <w:sz w:val="32"/>
          <w:szCs w:val="32"/>
          <w:shd w:val="clear" w:color="auto" w:fill="auto"/>
          <w:lang w:eastAsia="zh-CN"/>
        </w:rPr>
        <w:t>。</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4"/>
          <w:rFonts w:hint="eastAsia" w:ascii="宋体" w:hAnsi="宋体" w:eastAsia="方正仿宋_GBK" w:cs="方正仿宋_GBK"/>
          <w:b w:val="0"/>
          <w:bCs/>
          <w:vanish w:val="0"/>
          <w:sz w:val="32"/>
          <w:szCs w:val="32"/>
          <w:shd w:val="clear" w:color="auto" w:fill="auto"/>
        </w:rPr>
      </w:pPr>
      <w:r>
        <w:rPr>
          <w:rStyle w:val="14"/>
          <w:rFonts w:hint="eastAsia" w:ascii="宋体" w:hAnsi="宋体" w:eastAsia="方正仿宋_GBK" w:cs="方正仿宋_GBK"/>
          <w:b w:val="0"/>
          <w:bCs/>
          <w:vanish w:val="0"/>
          <w:sz w:val="32"/>
          <w:szCs w:val="32"/>
          <w:shd w:val="clear" w:color="auto" w:fill="auto"/>
          <w:lang w:val="en-US" w:eastAsia="zh-CN"/>
        </w:rPr>
        <w:t>3.</w:t>
      </w:r>
      <w:r>
        <w:rPr>
          <w:rStyle w:val="14"/>
          <w:rFonts w:hint="eastAsia" w:ascii="宋体" w:hAnsi="宋体" w:eastAsia="方正仿宋_GBK" w:cs="方正仿宋_GBK"/>
          <w:b w:val="0"/>
          <w:bCs/>
          <w:vanish w:val="0"/>
          <w:sz w:val="32"/>
          <w:szCs w:val="32"/>
          <w:shd w:val="clear" w:color="auto" w:fill="auto"/>
        </w:rPr>
        <w:t>关于绩效自评结果的说明</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vanish w:val="0"/>
          <w:shd w:val="clear" w:color="auto" w:fill="auto"/>
        </w:rPr>
      </w:pPr>
      <w:r>
        <w:rPr>
          <w:rFonts w:hint="eastAsia" w:ascii="宋体" w:hAnsi="宋体" w:eastAsia="方正仿宋_GBK" w:cs="方正仿宋_GBK"/>
          <w:i w:val="0"/>
          <w:iCs w:val="0"/>
          <w:caps w:val="0"/>
          <w:spacing w:val="0"/>
          <w:sz w:val="32"/>
          <w:szCs w:val="32"/>
          <w:shd w:val="clear" w:color="auto" w:fill="auto"/>
        </w:rPr>
        <w:t>从评价情况来看，总体目标完成较好，立项依据充分，资金管理到位，产生的社会效益、经济效益、社会可持续影响好。</w:t>
      </w:r>
    </w:p>
    <w:p>
      <w:pPr>
        <w:pStyle w:val="11"/>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ascii="宋体" w:hAnsi="宋体"/>
          <w:vanish w:val="0"/>
          <w:shd w:val="clear" w:color="auto" w:fill="auto"/>
        </w:rPr>
      </w:pPr>
      <w:r>
        <w:rPr>
          <w:rStyle w:val="14"/>
          <w:rFonts w:hint="eastAsia" w:ascii="宋体" w:hAnsi="宋体" w:eastAsia="方正楷体_GBK" w:cs="方正楷体_GBK"/>
          <w:b w:val="0"/>
          <w:bCs/>
          <w:vanish w:val="0"/>
          <w:sz w:val="32"/>
          <w:szCs w:val="32"/>
          <w:shd w:val="clear" w:color="auto" w:fill="auto"/>
        </w:rPr>
        <w:t>（三）重点绩效评价结果</w:t>
      </w:r>
    </w:p>
    <w:p>
      <w:pPr>
        <w:pStyle w:val="11"/>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20" w:firstLineChars="200"/>
        <w:jc w:val="left"/>
        <w:textAlignment w:val="auto"/>
        <w:rPr>
          <w:rFonts w:ascii="宋体" w:hAnsi="宋体" w:eastAsia="方正仿宋_GBK" w:cs="方正仿宋_GBK"/>
          <w:i w:val="0"/>
          <w:iCs w:val="0"/>
          <w:caps w:val="0"/>
          <w:spacing w:val="0"/>
          <w:sz w:val="31"/>
          <w:szCs w:val="31"/>
          <w:shd w:val="clear" w:color="auto" w:fill="auto"/>
        </w:rPr>
      </w:pPr>
      <w:r>
        <w:rPr>
          <w:rFonts w:ascii="宋体" w:hAnsi="宋体" w:eastAsia="方正仿宋_GBK" w:cs="方正仿宋_GBK"/>
          <w:i w:val="0"/>
          <w:iCs w:val="0"/>
          <w:caps w:val="0"/>
          <w:spacing w:val="0"/>
          <w:sz w:val="31"/>
          <w:szCs w:val="31"/>
          <w:shd w:val="clear" w:color="auto" w:fill="auto"/>
        </w:rPr>
        <w:t>本年度</w:t>
      </w:r>
      <w:r>
        <w:rPr>
          <w:rFonts w:hint="eastAsia" w:ascii="宋体" w:hAnsi="宋体" w:eastAsia="方正仿宋_GBK" w:cs="方正仿宋_GBK"/>
          <w:i w:val="0"/>
          <w:iCs w:val="0"/>
          <w:caps w:val="0"/>
          <w:spacing w:val="0"/>
          <w:sz w:val="31"/>
          <w:szCs w:val="31"/>
          <w:shd w:val="clear" w:color="auto" w:fill="auto"/>
          <w:lang w:eastAsia="zh-CN"/>
        </w:rPr>
        <w:t>本部门</w:t>
      </w:r>
      <w:r>
        <w:rPr>
          <w:rFonts w:ascii="宋体" w:hAnsi="宋体" w:eastAsia="方正仿宋_GBK" w:cs="方正仿宋_GBK"/>
          <w:i w:val="0"/>
          <w:iCs w:val="0"/>
          <w:caps w:val="0"/>
          <w:spacing w:val="0"/>
          <w:sz w:val="31"/>
          <w:szCs w:val="31"/>
          <w:shd w:val="clear" w:color="auto" w:fill="auto"/>
        </w:rPr>
        <w:t>无重点绩效评价项目。</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黑体_GBK" w:cs="方正黑体_GBK"/>
          <w:b w:val="0"/>
          <w:bCs/>
          <w:sz w:val="32"/>
          <w:szCs w:val="32"/>
        </w:rPr>
      </w:pPr>
      <w:r>
        <w:rPr>
          <w:rStyle w:val="14"/>
          <w:rFonts w:hint="eastAsia" w:ascii="宋体" w:hAnsi="宋体" w:eastAsia="方正黑体_GBK" w:cs="方正黑体_GBK"/>
          <w:b w:val="0"/>
          <w:bCs/>
          <w:sz w:val="32"/>
          <w:szCs w:val="32"/>
          <w:shd w:val="clear" w:fill="FFFFFF"/>
        </w:rPr>
        <w:t>六、专业名词解释</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（一）财政拨款收入</w:t>
      </w:r>
      <w:r>
        <w:rPr>
          <w:rFonts w:hint="eastAsia" w:ascii="宋体" w:hAnsi="宋体" w:eastAsia="方正楷体_GBK" w:cs="方正楷体_GBK"/>
          <w:b w:val="0"/>
          <w:bCs/>
          <w:sz w:val="32"/>
          <w:szCs w:val="32"/>
          <w:shd w:val="clear" w:fill="FFFFFF"/>
        </w:rPr>
        <w:t>：</w:t>
      </w:r>
      <w:r>
        <w:rPr>
          <w:rFonts w:hint="eastAsia" w:ascii="宋体" w:hAnsi="宋体" w:eastAsia="方正仿宋_GBK" w:cs="方正仿宋_GBK"/>
          <w:b w:val="0"/>
          <w:bCs/>
          <w:sz w:val="32"/>
          <w:szCs w:val="32"/>
          <w:shd w:val="clear" w:fill="FFFFFF"/>
        </w:rPr>
        <w:t>指本年度从本级财政部门取得的财政拨款，包括一般公共预算财政拨款和政府性基金预算财政拨款。</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w:t>
      </w:r>
      <w:r>
        <w:rPr>
          <w:rStyle w:val="14"/>
          <w:rFonts w:hint="eastAsia" w:ascii="宋体" w:hAnsi="宋体" w:eastAsia="方正楷体_GBK" w:cs="方正楷体_GBK"/>
          <w:b w:val="0"/>
          <w:bCs/>
          <w:sz w:val="32"/>
          <w:szCs w:val="32"/>
          <w:shd w:val="clear" w:fill="FFFFFF"/>
          <w:lang w:eastAsia="zh-CN"/>
        </w:rPr>
        <w:t>二</w:t>
      </w:r>
      <w:r>
        <w:rPr>
          <w:rStyle w:val="14"/>
          <w:rFonts w:hint="eastAsia" w:ascii="宋体" w:hAnsi="宋体" w:eastAsia="方正楷体_GBK" w:cs="方正楷体_GBK"/>
          <w:b w:val="0"/>
          <w:bCs/>
          <w:sz w:val="32"/>
          <w:szCs w:val="32"/>
          <w:shd w:val="clear" w:fill="FFFFFF"/>
        </w:rPr>
        <w:t>）年初结转和结余</w:t>
      </w:r>
      <w:r>
        <w:rPr>
          <w:rFonts w:hint="eastAsia" w:ascii="宋体" w:hAnsi="宋体" w:eastAsia="方正楷体_GBK" w:cs="方正楷体_GBK"/>
          <w:b w:val="0"/>
          <w:bCs/>
          <w:sz w:val="32"/>
          <w:szCs w:val="32"/>
          <w:shd w:val="clear" w:fill="FFFFFF"/>
        </w:rPr>
        <w:t>：</w:t>
      </w:r>
      <w:r>
        <w:rPr>
          <w:rFonts w:hint="eastAsia" w:ascii="宋体" w:hAnsi="宋体" w:eastAsia="方正仿宋_GBK" w:cs="方正仿宋_GBK"/>
          <w:b w:val="0"/>
          <w:bCs/>
          <w:sz w:val="32"/>
          <w:szCs w:val="32"/>
          <w:shd w:val="clear" w:fill="FFFFFF"/>
        </w:rPr>
        <w:t>指单位上年结转本年使用的基本支出结转、项目支出结转和结余、经营结余。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w:t>
      </w:r>
      <w:r>
        <w:rPr>
          <w:rStyle w:val="14"/>
          <w:rFonts w:hint="eastAsia" w:ascii="宋体" w:hAnsi="宋体" w:eastAsia="方正楷体_GBK" w:cs="方正楷体_GBK"/>
          <w:b w:val="0"/>
          <w:bCs/>
          <w:sz w:val="32"/>
          <w:szCs w:val="32"/>
          <w:shd w:val="clear" w:fill="FFFFFF"/>
          <w:lang w:eastAsia="zh-CN"/>
        </w:rPr>
        <w:t>三</w:t>
      </w:r>
      <w:r>
        <w:rPr>
          <w:rStyle w:val="14"/>
          <w:rFonts w:hint="eastAsia" w:ascii="宋体" w:hAnsi="宋体" w:eastAsia="方正楷体_GBK" w:cs="方正楷体_GBK"/>
          <w:b w:val="0"/>
          <w:bCs/>
          <w:sz w:val="32"/>
          <w:szCs w:val="32"/>
          <w:shd w:val="clear" w:fill="FFFFFF"/>
        </w:rPr>
        <w:t>）年末结转和结余</w:t>
      </w:r>
      <w:r>
        <w:rPr>
          <w:rFonts w:hint="eastAsia" w:ascii="宋体" w:hAnsi="宋体" w:eastAsia="方正楷体_GBK" w:cs="方正楷体_GBK"/>
          <w:b w:val="0"/>
          <w:bCs/>
          <w:sz w:val="32"/>
          <w:szCs w:val="32"/>
          <w:shd w:val="clear" w:fill="FFFFFF"/>
        </w:rPr>
        <w:t>：</w:t>
      </w:r>
      <w:r>
        <w:rPr>
          <w:rFonts w:hint="eastAsia" w:ascii="宋体" w:hAnsi="宋体" w:eastAsia="方正仿宋_GBK" w:cs="方正仿宋_GBK"/>
          <w:b w:val="0"/>
          <w:bCs/>
          <w:sz w:val="32"/>
          <w:szCs w:val="32"/>
          <w:shd w:val="clear" w:fill="FFFFFF"/>
        </w:rPr>
        <w:t>指单位结转下年的基本支出结转、项目支出结转和结余、经营结余。</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w:t>
      </w:r>
      <w:r>
        <w:rPr>
          <w:rStyle w:val="14"/>
          <w:rFonts w:hint="eastAsia" w:ascii="宋体" w:hAnsi="宋体" w:eastAsia="方正楷体_GBK" w:cs="方正楷体_GBK"/>
          <w:b w:val="0"/>
          <w:bCs/>
          <w:sz w:val="32"/>
          <w:szCs w:val="32"/>
          <w:shd w:val="clear" w:fill="FFFFFF"/>
          <w:lang w:eastAsia="zh-CN"/>
        </w:rPr>
        <w:t>四</w:t>
      </w:r>
      <w:r>
        <w:rPr>
          <w:rStyle w:val="14"/>
          <w:rFonts w:hint="eastAsia" w:ascii="宋体" w:hAnsi="宋体" w:eastAsia="方正楷体_GBK" w:cs="方正楷体_GBK"/>
          <w:b w:val="0"/>
          <w:bCs/>
          <w:sz w:val="32"/>
          <w:szCs w:val="32"/>
          <w:shd w:val="clear" w:fill="FFFFFF"/>
        </w:rPr>
        <w:t>）基本支出</w:t>
      </w:r>
      <w:r>
        <w:rPr>
          <w:rFonts w:hint="eastAsia" w:ascii="宋体" w:hAnsi="宋体" w:eastAsia="方正楷体_GBK" w:cs="方正楷体_GBK"/>
          <w:b w:val="0"/>
          <w:bCs/>
          <w:sz w:val="32"/>
          <w:szCs w:val="32"/>
          <w:shd w:val="clear" w:fill="FFFFFF"/>
        </w:rPr>
        <w:t>：</w:t>
      </w:r>
      <w:r>
        <w:rPr>
          <w:rFonts w:hint="eastAsia" w:ascii="宋体" w:hAnsi="宋体" w:eastAsia="方正仿宋_GBK" w:cs="方正仿宋_GBK"/>
          <w:b w:val="0"/>
          <w:bCs/>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w:t>
      </w:r>
      <w:r>
        <w:rPr>
          <w:rStyle w:val="14"/>
          <w:rFonts w:hint="eastAsia" w:ascii="宋体" w:hAnsi="宋体" w:eastAsia="方正楷体_GBK" w:cs="方正楷体_GBK"/>
          <w:b w:val="0"/>
          <w:bCs/>
          <w:sz w:val="32"/>
          <w:szCs w:val="32"/>
          <w:shd w:val="clear" w:fill="FFFFFF"/>
          <w:lang w:eastAsia="zh-CN"/>
        </w:rPr>
        <w:t>五</w:t>
      </w:r>
      <w:r>
        <w:rPr>
          <w:rStyle w:val="14"/>
          <w:rFonts w:hint="eastAsia" w:ascii="宋体" w:hAnsi="宋体" w:eastAsia="方正楷体_GBK" w:cs="方正楷体_GBK"/>
          <w:b w:val="0"/>
          <w:bCs/>
          <w:sz w:val="32"/>
          <w:szCs w:val="32"/>
          <w:shd w:val="clear" w:fill="FFFFFF"/>
        </w:rPr>
        <w:t>）项目支出</w:t>
      </w:r>
      <w:r>
        <w:rPr>
          <w:rFonts w:hint="eastAsia" w:ascii="宋体" w:hAnsi="宋体" w:eastAsia="方正楷体_GBK" w:cs="方正楷体_GBK"/>
          <w:b w:val="0"/>
          <w:bCs/>
          <w:sz w:val="32"/>
          <w:szCs w:val="32"/>
          <w:shd w:val="clear" w:fill="FFFFFF"/>
        </w:rPr>
        <w:t>：</w:t>
      </w:r>
      <w:r>
        <w:rPr>
          <w:rFonts w:hint="eastAsia" w:ascii="宋体" w:hAnsi="宋体" w:eastAsia="方正仿宋_GBK" w:cs="方正仿宋_GBK"/>
          <w:b w:val="0"/>
          <w:bCs/>
          <w:sz w:val="32"/>
          <w:szCs w:val="32"/>
          <w:shd w:val="clear" w:fill="FFFFFF"/>
        </w:rPr>
        <w:t>指在基本支出之外为完成特定行政任务和事业发展目标所发生的支出。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w:t>
      </w:r>
      <w:r>
        <w:rPr>
          <w:rStyle w:val="14"/>
          <w:rFonts w:hint="eastAsia" w:ascii="宋体" w:hAnsi="宋体" w:eastAsia="方正楷体_GBK" w:cs="方正楷体_GBK"/>
          <w:b w:val="0"/>
          <w:bCs/>
          <w:sz w:val="32"/>
          <w:szCs w:val="32"/>
          <w:shd w:val="clear" w:fill="FFFFFF"/>
          <w:lang w:eastAsia="zh-CN"/>
        </w:rPr>
        <w:t>六</w:t>
      </w:r>
      <w:r>
        <w:rPr>
          <w:rStyle w:val="14"/>
          <w:rFonts w:hint="eastAsia" w:ascii="宋体" w:hAnsi="宋体" w:eastAsia="方正楷体_GBK" w:cs="方正楷体_GBK"/>
          <w:b w:val="0"/>
          <w:bCs/>
          <w:sz w:val="32"/>
          <w:szCs w:val="32"/>
          <w:shd w:val="clear" w:fill="FFFFFF"/>
        </w:rPr>
        <w:t>）“三公”经费</w:t>
      </w:r>
      <w:r>
        <w:rPr>
          <w:rFonts w:hint="eastAsia" w:ascii="宋体" w:hAnsi="宋体" w:eastAsia="方正楷体_GBK" w:cs="方正楷体_GBK"/>
          <w:b w:val="0"/>
          <w:bCs/>
          <w:sz w:val="32"/>
          <w:szCs w:val="32"/>
          <w:shd w:val="clear" w:fill="FFFFFF"/>
        </w:rPr>
        <w:t>：</w:t>
      </w:r>
      <w:r>
        <w:rPr>
          <w:rFonts w:hint="eastAsia" w:ascii="宋体" w:hAnsi="宋体" w:eastAsia="方正仿宋_GBK" w:cs="方正仿宋_GBK"/>
          <w:b w:val="0"/>
          <w:bCs/>
          <w:sz w:val="32"/>
          <w:szCs w:val="32"/>
          <w:shd w:val="clear" w:fill="FFFFFF"/>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w:t>
      </w:r>
      <w:r>
        <w:rPr>
          <w:rStyle w:val="14"/>
          <w:rFonts w:hint="eastAsia" w:ascii="宋体" w:hAnsi="宋体" w:eastAsia="方正楷体_GBK" w:cs="方正楷体_GBK"/>
          <w:b w:val="0"/>
          <w:bCs/>
          <w:sz w:val="32"/>
          <w:szCs w:val="32"/>
          <w:shd w:val="clear" w:fill="FFFFFF"/>
          <w:lang w:eastAsia="zh-CN"/>
        </w:rPr>
        <w:t>七</w:t>
      </w:r>
      <w:r>
        <w:rPr>
          <w:rStyle w:val="14"/>
          <w:rFonts w:hint="eastAsia" w:ascii="宋体" w:hAnsi="宋体" w:eastAsia="方正楷体_GBK" w:cs="方正楷体_GBK"/>
          <w:b w:val="0"/>
          <w:bCs/>
          <w:sz w:val="32"/>
          <w:szCs w:val="32"/>
          <w:shd w:val="clear" w:fill="FFFFFF"/>
        </w:rPr>
        <w:t>）机关运行经费</w:t>
      </w:r>
      <w:r>
        <w:rPr>
          <w:rFonts w:hint="eastAsia" w:ascii="宋体" w:hAnsi="宋体" w:eastAsia="方正楷体_GBK" w:cs="方正楷体_GBK"/>
          <w:b w:val="0"/>
          <w:bCs/>
          <w:sz w:val="32"/>
          <w:szCs w:val="32"/>
          <w:shd w:val="clear" w:fill="FFFFFF"/>
        </w:rPr>
        <w:t>：</w:t>
      </w:r>
      <w:r>
        <w:rPr>
          <w:rFonts w:hint="eastAsia" w:ascii="宋体" w:hAnsi="宋体" w:eastAsia="方正仿宋_GBK" w:cs="方正仿宋_GBK"/>
          <w:b w:val="0"/>
          <w:bCs/>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w:t>
      </w:r>
      <w:r>
        <w:rPr>
          <w:rStyle w:val="14"/>
          <w:rFonts w:hint="eastAsia" w:ascii="宋体" w:hAnsi="宋体" w:eastAsia="方正楷体_GBK" w:cs="方正楷体_GBK"/>
          <w:b w:val="0"/>
          <w:bCs/>
          <w:sz w:val="32"/>
          <w:szCs w:val="32"/>
          <w:shd w:val="clear" w:fill="FFFFFF"/>
          <w:lang w:eastAsia="zh-CN"/>
        </w:rPr>
        <w:t>八</w:t>
      </w:r>
      <w:r>
        <w:rPr>
          <w:rStyle w:val="14"/>
          <w:rFonts w:hint="eastAsia" w:ascii="宋体" w:hAnsi="宋体" w:eastAsia="方正楷体_GBK" w:cs="方正楷体_GBK"/>
          <w:b w:val="0"/>
          <w:bCs/>
          <w:sz w:val="32"/>
          <w:szCs w:val="32"/>
          <w:shd w:val="clear" w:fill="FFFFFF"/>
        </w:rPr>
        <w:t>）工资福利支出（支出经济分类科目类级）</w:t>
      </w:r>
      <w:r>
        <w:rPr>
          <w:rFonts w:hint="eastAsia" w:ascii="宋体" w:hAnsi="宋体" w:eastAsia="方正楷体_GBK" w:cs="方正楷体_GBK"/>
          <w:b w:val="0"/>
          <w:bCs/>
          <w:sz w:val="32"/>
          <w:szCs w:val="32"/>
          <w:shd w:val="clear" w:fill="FFFFFF"/>
        </w:rPr>
        <w:t>：</w:t>
      </w:r>
      <w:r>
        <w:rPr>
          <w:rFonts w:hint="eastAsia" w:ascii="宋体" w:hAnsi="宋体" w:eastAsia="方正仿宋_GBK" w:cs="方正仿宋_GBK"/>
          <w:b w:val="0"/>
          <w:bCs/>
          <w:sz w:val="32"/>
          <w:szCs w:val="32"/>
          <w:shd w:val="clear" w:fill="FFFFFF"/>
        </w:rPr>
        <w:t>反映单位开支的在职职工和编制外长期聘用人员的各类劳动报酬，以及为上述人员缴纳的各项社会保险费等。</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w:t>
      </w:r>
      <w:r>
        <w:rPr>
          <w:rStyle w:val="14"/>
          <w:rFonts w:hint="eastAsia" w:ascii="宋体" w:hAnsi="宋体" w:eastAsia="方正楷体_GBK" w:cs="方正楷体_GBK"/>
          <w:b w:val="0"/>
          <w:bCs/>
          <w:sz w:val="32"/>
          <w:szCs w:val="32"/>
          <w:shd w:val="clear" w:fill="FFFFFF"/>
          <w:lang w:eastAsia="zh-CN"/>
        </w:rPr>
        <w:t>九</w:t>
      </w:r>
      <w:r>
        <w:rPr>
          <w:rStyle w:val="14"/>
          <w:rFonts w:hint="eastAsia" w:ascii="宋体" w:hAnsi="宋体" w:eastAsia="方正楷体_GBK" w:cs="方正楷体_GBK"/>
          <w:b w:val="0"/>
          <w:bCs/>
          <w:sz w:val="32"/>
          <w:szCs w:val="32"/>
          <w:shd w:val="clear" w:fill="FFFFFF"/>
        </w:rPr>
        <w:t>）商品和服务支出（支出经济分类科目类级）</w:t>
      </w:r>
      <w:r>
        <w:rPr>
          <w:rFonts w:hint="eastAsia" w:ascii="宋体" w:hAnsi="宋体" w:eastAsia="方正仿宋_GBK" w:cs="方正仿宋_GBK"/>
          <w:b w:val="0"/>
          <w:bCs/>
          <w:sz w:val="32"/>
          <w:szCs w:val="32"/>
          <w:shd w:val="clear" w:fill="FFFFFF"/>
        </w:rPr>
        <w:t>：反映单位购买商品和服务的支出（不包括用于购置固定资产的支出、战略性和应急储备支出）。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Style w:val="14"/>
          <w:rFonts w:hint="eastAsia" w:ascii="宋体" w:hAnsi="宋体" w:eastAsia="方正楷体_GBK" w:cs="方正楷体_GBK"/>
          <w:b w:val="0"/>
          <w:bCs/>
          <w:sz w:val="32"/>
          <w:szCs w:val="32"/>
          <w:shd w:val="clear" w:fill="FFFFFF"/>
        </w:rPr>
        <w:t>（</w:t>
      </w:r>
      <w:r>
        <w:rPr>
          <w:rStyle w:val="14"/>
          <w:rFonts w:hint="eastAsia" w:ascii="宋体" w:hAnsi="宋体" w:eastAsia="方正楷体_GBK" w:cs="方正楷体_GBK"/>
          <w:b w:val="0"/>
          <w:bCs/>
          <w:sz w:val="32"/>
          <w:szCs w:val="32"/>
          <w:shd w:val="clear" w:fill="FFFFFF"/>
          <w:lang w:eastAsia="zh-CN"/>
        </w:rPr>
        <w:t>十</w:t>
      </w:r>
      <w:r>
        <w:rPr>
          <w:rStyle w:val="14"/>
          <w:rFonts w:hint="eastAsia" w:ascii="宋体" w:hAnsi="宋体" w:eastAsia="方正楷体_GBK" w:cs="方正楷体_GBK"/>
          <w:b w:val="0"/>
          <w:bCs/>
          <w:sz w:val="32"/>
          <w:szCs w:val="32"/>
          <w:shd w:val="clear" w:fill="FFFFFF"/>
        </w:rPr>
        <w:t>）对个人和家庭的补助（支出经济分类科目类级）</w:t>
      </w:r>
      <w:r>
        <w:rPr>
          <w:rFonts w:hint="eastAsia" w:ascii="宋体" w:hAnsi="宋体" w:eastAsia="方正楷体_GBK" w:cs="方正楷体_GBK"/>
          <w:b w:val="0"/>
          <w:bCs/>
          <w:sz w:val="32"/>
          <w:szCs w:val="32"/>
          <w:shd w:val="clear" w:fill="FFFFFF"/>
        </w:rPr>
        <w:t>：</w:t>
      </w:r>
      <w:r>
        <w:rPr>
          <w:rFonts w:hint="eastAsia" w:ascii="宋体" w:hAnsi="宋体" w:eastAsia="方正仿宋_GBK" w:cs="方正仿宋_GBK"/>
          <w:b w:val="0"/>
          <w:bCs/>
          <w:sz w:val="32"/>
          <w:szCs w:val="32"/>
          <w:shd w:val="clear" w:fill="FFFFFF"/>
        </w:rPr>
        <w:t>反映用于对个人和家庭的补助支出。</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黑体_GBK" w:cs="方正黑体_GBK"/>
          <w:b w:val="0"/>
          <w:bCs/>
          <w:sz w:val="32"/>
          <w:szCs w:val="32"/>
        </w:rPr>
      </w:pPr>
      <w:r>
        <w:rPr>
          <w:rStyle w:val="14"/>
          <w:rFonts w:hint="eastAsia" w:ascii="宋体" w:hAnsi="宋体" w:eastAsia="方正黑体_GBK" w:cs="方正黑体_GBK"/>
          <w:b w:val="0"/>
          <w:bCs/>
          <w:sz w:val="32"/>
          <w:szCs w:val="32"/>
          <w:shd w:val="clear" w:fill="FFFFFF"/>
        </w:rPr>
        <w:t>七、决算公开联系方式及信息反馈渠道</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shd w:val="clear" w:fill="FFFFFF"/>
        </w:rPr>
        <w:t>本单位决算公开信息反馈和联系方式：</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579" w:lineRule="exact"/>
        <w:ind w:left="0" w:firstLine="640" w:firstLineChars="200"/>
        <w:jc w:val="left"/>
        <w:textAlignment w:val="auto"/>
        <w:rPr>
          <w:rFonts w:hint="default" w:ascii="宋体" w:hAnsi="宋体" w:eastAsia="方正仿宋_GBK" w:cs="方正仿宋_GBK"/>
          <w:b w:val="0"/>
          <w:bCs/>
          <w:sz w:val="32"/>
          <w:szCs w:val="32"/>
          <w:lang w:val="en-US" w:eastAsia="zh-CN"/>
        </w:rPr>
      </w:pPr>
      <w:r>
        <w:rPr>
          <w:rFonts w:hint="eastAsia" w:ascii="宋体" w:hAnsi="宋体" w:eastAsia="方正仿宋_GBK" w:cs="方正仿宋_GBK"/>
          <w:b w:val="0"/>
          <w:bCs/>
          <w:color w:val="auto"/>
          <w:sz w:val="32"/>
          <w:szCs w:val="32"/>
          <w:shd w:val="clear" w:fill="FFFFFF"/>
          <w:lang w:eastAsia="zh-CN"/>
        </w:rPr>
        <w:t>董莉</w:t>
      </w:r>
      <w:r>
        <w:rPr>
          <w:rFonts w:hint="eastAsia" w:ascii="宋体" w:hAnsi="宋体" w:eastAsia="方正仿宋_GBK" w:cs="方正仿宋_GBK"/>
          <w:b w:val="0"/>
          <w:bCs/>
          <w:color w:val="auto"/>
          <w:sz w:val="32"/>
          <w:szCs w:val="32"/>
          <w:shd w:val="clear" w:fill="FFFFFF"/>
        </w:rPr>
        <w:t>   023-</w:t>
      </w:r>
      <w:r>
        <w:rPr>
          <w:rFonts w:hint="eastAsia" w:ascii="宋体" w:hAnsi="宋体" w:eastAsia="方正仿宋_GBK" w:cs="方正仿宋_GBK"/>
          <w:b w:val="0"/>
          <w:bCs/>
          <w:color w:val="auto"/>
          <w:sz w:val="32"/>
          <w:szCs w:val="32"/>
          <w:shd w:val="clear" w:fill="FFFFFF"/>
          <w:lang w:val="en-US" w:eastAsia="zh-CN"/>
        </w:rPr>
        <w:t>47569101</w:t>
      </w:r>
    </w:p>
    <w:sectPr>
      <w:footerReference r:id="rId3" w:type="default"/>
      <w:pgSz w:w="11915" w:h="16851"/>
      <w:pgMar w:top="2098" w:right="1474" w:bottom="1984" w:left="1587" w:header="851" w:footer="1474"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99473B"/>
    <w:multiLevelType w:val="singleLevel"/>
    <w:tmpl w:val="2499473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YWJkMTFmOTUwMGY3OTI2YWNlNjFhM2I2YmI3Y2QifQ=="/>
  </w:docVars>
  <w:rsids>
    <w:rsidRoot w:val="00000000"/>
    <w:rsid w:val="0736667E"/>
    <w:rsid w:val="08395955"/>
    <w:rsid w:val="0D227D66"/>
    <w:rsid w:val="13763F3E"/>
    <w:rsid w:val="13B660AC"/>
    <w:rsid w:val="16C64858"/>
    <w:rsid w:val="20BA0CB8"/>
    <w:rsid w:val="235B1D13"/>
    <w:rsid w:val="23671171"/>
    <w:rsid w:val="292F44DF"/>
    <w:rsid w:val="2A994305"/>
    <w:rsid w:val="2CBD14EC"/>
    <w:rsid w:val="2D3E1194"/>
    <w:rsid w:val="2E314855"/>
    <w:rsid w:val="2FC33BD3"/>
    <w:rsid w:val="31B25CAD"/>
    <w:rsid w:val="35487054"/>
    <w:rsid w:val="36DD557A"/>
    <w:rsid w:val="384358B1"/>
    <w:rsid w:val="39F74BA5"/>
    <w:rsid w:val="3AA30888"/>
    <w:rsid w:val="3E4B1963"/>
    <w:rsid w:val="40385856"/>
    <w:rsid w:val="414D154E"/>
    <w:rsid w:val="43F65ECD"/>
    <w:rsid w:val="46B61944"/>
    <w:rsid w:val="48EE1869"/>
    <w:rsid w:val="4B7F76F4"/>
    <w:rsid w:val="4C143394"/>
    <w:rsid w:val="4ED323AC"/>
    <w:rsid w:val="4F2C30EB"/>
    <w:rsid w:val="4FD70A9D"/>
    <w:rsid w:val="502802D3"/>
    <w:rsid w:val="52CB49C9"/>
    <w:rsid w:val="55F84DBF"/>
    <w:rsid w:val="59A044B9"/>
    <w:rsid w:val="59C363FA"/>
    <w:rsid w:val="5B150ED7"/>
    <w:rsid w:val="5B2064A8"/>
    <w:rsid w:val="5B4B48F9"/>
    <w:rsid w:val="5B9E711E"/>
    <w:rsid w:val="5BE30FD5"/>
    <w:rsid w:val="5C9F314E"/>
    <w:rsid w:val="5F6917F1"/>
    <w:rsid w:val="603E62FA"/>
    <w:rsid w:val="60966616"/>
    <w:rsid w:val="60BD0047"/>
    <w:rsid w:val="62487DE4"/>
    <w:rsid w:val="683C3F47"/>
    <w:rsid w:val="693F78A9"/>
    <w:rsid w:val="6EFC4430"/>
    <w:rsid w:val="72FF004B"/>
    <w:rsid w:val="74C27582"/>
    <w:rsid w:val="75461F61"/>
    <w:rsid w:val="76A50F09"/>
    <w:rsid w:val="77CD6969"/>
    <w:rsid w:val="77D859AD"/>
    <w:rsid w:val="785C1A9B"/>
    <w:rsid w:val="7F282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styleId="1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5472</Words>
  <Characters>6066</Characters>
  <TotalTime>0</TotalTime>
  <ScaleCrop>false</ScaleCrop>
  <LinksUpToDate>false</LinksUpToDate>
  <CharactersWithSpaces>6069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2023-08-16T06:31:00Z</dcterms:created>
  <dc:creator>Administrator</dc:creator>
  <cp:lastModifiedBy>企业用户_741294171</cp:lastModifiedBy>
  <dcterms:modified xsi:type="dcterms:W3CDTF">2023-08-23T03:53:19Z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940B3D6012E64AFCB1957649B25C2780_13</vt:lpwstr>
  </property>
</Properties>
</file>