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880" w:firstLineChars="200"/>
        <w:jc w:val="center"/>
        <w:textAlignment w:val="auto"/>
        <w:rPr>
          <w:rFonts w:hint="eastAsia" w:ascii="宋体" w:hAnsi="宋体" w:eastAsia="方正小标宋_GBK" w:cs="方正小标宋_GBK"/>
          <w:b w:val="0"/>
          <w:bCs/>
          <w:sz w:val="44"/>
          <w:szCs w:val="44"/>
        </w:rPr>
      </w:pPr>
      <w:r>
        <w:rPr>
          <w:rStyle w:val="10"/>
          <w:rFonts w:hint="eastAsia" w:ascii="宋体" w:hAnsi="宋体" w:eastAsia="方正小标宋_GBK" w:cs="方正小标宋_GBK"/>
          <w:b w:val="0"/>
          <w:bCs/>
          <w:sz w:val="44"/>
          <w:szCs w:val="44"/>
        </w:rPr>
        <w:t>重庆市江津区科学技术局</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ind w:firstLine="880" w:firstLineChars="200"/>
        <w:jc w:val="center"/>
        <w:textAlignment w:val="auto"/>
        <w:rPr>
          <w:rStyle w:val="10"/>
          <w:rFonts w:hint="eastAsia" w:ascii="宋体" w:hAnsi="宋体" w:eastAsia="方正小标宋_GBK" w:cs="方正小标宋_GBK"/>
          <w:b w:val="0"/>
          <w:bCs/>
          <w:sz w:val="44"/>
          <w:szCs w:val="44"/>
        </w:rPr>
      </w:pPr>
      <w:r>
        <w:rPr>
          <w:rStyle w:val="10"/>
          <w:rFonts w:hint="eastAsia" w:ascii="宋体" w:hAnsi="宋体" w:eastAsia="方正小标宋_GBK" w:cs="方正小标宋_GBK"/>
          <w:b w:val="0"/>
          <w:bCs/>
          <w:sz w:val="44"/>
          <w:szCs w:val="44"/>
        </w:rPr>
        <w:t>2022年度部门决算</w:t>
      </w:r>
      <w:r>
        <w:rPr>
          <w:rStyle w:val="10"/>
          <w:rFonts w:hint="eastAsia" w:hAnsi="宋体" w:eastAsia="方正小标宋_GBK" w:cs="方正小标宋_GBK"/>
          <w:b w:val="0"/>
          <w:bCs/>
          <w:sz w:val="44"/>
          <w:szCs w:val="44"/>
          <w:lang w:eastAsia="zh-CN"/>
        </w:rPr>
        <w:t>公开</w:t>
      </w:r>
      <w:r>
        <w:rPr>
          <w:rStyle w:val="10"/>
          <w:rFonts w:hint="eastAsia" w:ascii="宋体" w:hAnsi="宋体" w:eastAsia="方正小标宋_GBK" w:cs="方正小标宋_GBK"/>
          <w:b w:val="0"/>
          <w:bCs/>
          <w:sz w:val="44"/>
          <w:szCs w:val="44"/>
        </w:rPr>
        <w:t>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jc w:val="center"/>
        <w:textAlignment w:val="auto"/>
        <w:rPr>
          <w:rStyle w:val="10"/>
          <w:rFonts w:hint="eastAsia" w:ascii="宋体" w:hAnsi="宋体" w:eastAsia="方正小标宋_GBK" w:cs="方正小标宋_GBK"/>
          <w:b w:val="0"/>
          <w:bCs/>
          <w:sz w:val="44"/>
          <w:szCs w:val="44"/>
        </w:rPr>
      </w:pP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textAlignment w:val="auto"/>
        <w:rPr>
          <w:rStyle w:val="10"/>
          <w:rFonts w:hint="eastAsia" w:ascii="宋体" w:hAnsi="宋体" w:eastAsia="方正黑体_GBK" w:cs="方正黑体_GBK"/>
          <w:b w:val="0"/>
          <w:bCs/>
          <w:sz w:val="32"/>
          <w:szCs w:val="32"/>
        </w:rPr>
      </w:pPr>
      <w:r>
        <w:rPr>
          <w:rStyle w:val="10"/>
          <w:rFonts w:hint="eastAsia" w:ascii="宋体" w:hAnsi="宋体" w:eastAsia="方正黑体_GBK" w:cs="方正黑体_GBK"/>
          <w:b w:val="0"/>
          <w:bCs/>
          <w:sz w:val="32"/>
          <w:szCs w:val="32"/>
        </w:rPr>
        <w:t>一、部门基本情况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（一）职能职责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1.拟订创新驱动发展战略方针以及科技发展、引进国外智力规划和政策并组织实施。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2.统筹科技创新体系建设和科技体制改革，会同有关部门建立健全技术创新激励机制。推动企业科技创新能力建设，承担推进科技军民融合发展相关工作，协调开展重大科技决策咨询。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3.会同有关部门提出优化配置科技资源的政策措施建议，推动多元化科技投入体系建设和科技金融结合。协调管理区级财政科技计划（专项、基金等）并监督实施。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4.负责编制区级科技项目规划并监督实施，统筹协调关键共性技术、前沿引领技术、现代工程技术、颠覆性技术研发和创新，牵头组织实施重大技术攻关和成果应用示范。会同有关部门建立科技项目协调、评估、监管机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5.组织拟订高新技术发展及产业化规划、政策和措施并组织实施。组织开展重点领域技术发展需求分析，提出重大任务并监督实施。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6.拟订科技促进农业农村和社会发展规划、政策和措施并组织实施。负责科技精准扶贫、科技特派员管理、科技下乡工作。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7.牵头技术转移体系建设，拟订科技成果转移转化和促进政产学研结合的相关政策措施并监督实施。指导科技服务业、技术市场等科技中介组织发展。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8.会同有关部门推动区域政产学研和创新创业工作，指导众创空间、科技孵化器、科技创新中心等的建设。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9.统筹区域科技创新体系建设，指导区域创新发展，科技资源的培育、引进、布局和协同创新能力建设，推动科技园区建设。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10.负责科技监督评价体系建设和相关科技评估管理，负责科技评价机制改革，统筹科研诚信建设。组织实施创新调查和科技报告制度，承担科技保密工作。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11.拟订科技对外交流与创新能力开放合作的规划、政策和措施，组织开展国内外科技合作与科技人才交流。指导相关部门和企业对外科技合作与科技人才交流工作。负责引进国外智力工作。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12.会同有关部门拟订科技人才队伍建设规划和政策，建立健全科技人才评价和激励机制，组织实施科技人才计划，推动高端科技创新人才队伍建设。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shd w:val="clear" w:fill="FFFFFF"/>
        </w:rPr>
      </w:pPr>
      <w:r>
        <w:rPr>
          <w:rFonts w:hint="eastAsia" w:ascii="宋体" w:hAnsi="宋体" w:eastAsia="方正仿宋_GBK" w:cs="方正仿宋_GBK"/>
          <w:b w:val="0"/>
          <w:bCs/>
          <w:i w:val="0"/>
          <w:iCs w:val="0"/>
          <w:caps w:val="0"/>
          <w:spacing w:val="0"/>
          <w:sz w:val="32"/>
          <w:szCs w:val="32"/>
          <w:shd w:val="clear" w:fill="FFFFFF"/>
        </w:rPr>
        <w:t>13.拟订科学普及和科学传播规划、政策并组织实施。推动科普基地建设。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shd w:val="clear" w:fill="FFFFFF"/>
        </w:rPr>
      </w:pPr>
      <w:r>
        <w:rPr>
          <w:rFonts w:hint="eastAsia" w:ascii="宋体" w:hAnsi="宋体" w:eastAsia="方正仿宋_GBK" w:cs="方正仿宋_GBK"/>
          <w:b w:val="0"/>
          <w:bCs/>
          <w:i w:val="0"/>
          <w:iCs w:val="0"/>
          <w:caps w:val="0"/>
          <w:spacing w:val="0"/>
          <w:sz w:val="32"/>
          <w:szCs w:val="32"/>
          <w:shd w:val="clear" w:fill="FFFFFF"/>
        </w:rPr>
        <w:t>14.组织编制本行政区域的防震减灾规划，负责地震观测环境审查、震情监测、地震宏观异常处置、防震减灾知识宣传教育和群测群防体系建设。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15.承担法律、法规、规章、政策规定的应急、安全、稳定、生态环境保护等相关工作职责。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16.完成区委、区政府交办的其他任务。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17.职能转变。围绕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国家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区科技人才队伍建设和引进国外智力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18.与重庆市江津区人力资源和社会保障局有关外国人来津工作许可职责分工，依据《中央编办关于外国人来华工作许可职责分工的通知》（中央编办发﹝2018﹞97号）规定执行。</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sz w:val="32"/>
          <w:szCs w:val="32"/>
        </w:rPr>
      </w:pPr>
      <w:r>
        <w:rPr>
          <w:rStyle w:val="10"/>
          <w:rFonts w:hint="eastAsia" w:ascii="宋体" w:hAnsi="宋体" w:eastAsia="方正楷体_GBK" w:cs="方正楷体_GBK"/>
          <w:b w:val="0"/>
          <w:bCs/>
          <w:sz w:val="32"/>
          <w:szCs w:val="32"/>
        </w:rPr>
        <w:t>（二）机构设置</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i w:val="0"/>
          <w:iCs w:val="0"/>
          <w:caps w:val="0"/>
          <w:spacing w:val="0"/>
          <w:sz w:val="32"/>
          <w:szCs w:val="32"/>
          <w:shd w:val="clear" w:fill="FFFFFF"/>
        </w:rPr>
      </w:pPr>
      <w:r>
        <w:rPr>
          <w:rFonts w:hint="eastAsia" w:ascii="宋体" w:hAnsi="宋体" w:eastAsia="方正仿宋_GBK" w:cs="方正仿宋_GBK"/>
          <w:b w:val="0"/>
          <w:bCs/>
          <w:i w:val="0"/>
          <w:iCs w:val="0"/>
          <w:caps w:val="0"/>
          <w:spacing w:val="0"/>
          <w:sz w:val="32"/>
          <w:szCs w:val="32"/>
          <w:shd w:val="clear" w:fill="FFFFFF"/>
        </w:rPr>
        <w:t>内设机构：办公室、规划发展科、产业平台科、创新服务科。下属事业单位：重庆市江津区科技创新中心、重庆市江津区防震减灾中心</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left="638" w:leftChars="304" w:firstLine="0" w:firstLineChars="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（三）单位构成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i w:val="0"/>
          <w:iCs w:val="0"/>
          <w:caps w:val="0"/>
          <w:spacing w:val="0"/>
          <w:sz w:val="32"/>
          <w:szCs w:val="32"/>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sz w:val="32"/>
          <w:szCs w:val="32"/>
        </w:rPr>
        <w:t>从预算单位构成看，纳入本部门2022年度决算编制的预算单位主要包括</w:t>
      </w:r>
      <w:r>
        <w:rPr>
          <w:rFonts w:hint="eastAsia" w:ascii="宋体" w:hAnsi="宋体" w:eastAsia="方正仿宋_GBK" w:cs="方正仿宋_GBK"/>
          <w:b w:val="0"/>
          <w:bCs/>
          <w:sz w:val="32"/>
          <w:szCs w:val="32"/>
          <w:lang w:eastAsia="zh-CN"/>
        </w:rPr>
        <w:t>重庆市江津区科学技术局机关、</w:t>
      </w:r>
      <w:r>
        <w:rPr>
          <w:rFonts w:hint="eastAsia" w:ascii="宋体" w:hAnsi="宋体" w:eastAsia="方正仿宋_GBK" w:cs="方正仿宋_GBK"/>
          <w:b w:val="0"/>
          <w:bCs/>
          <w:i w:val="0"/>
          <w:iCs w:val="0"/>
          <w:caps w:val="0"/>
          <w:spacing w:val="0"/>
          <w:sz w:val="32"/>
          <w:szCs w:val="32"/>
          <w:shd w:val="clear" w:fill="FFFFFF"/>
        </w:rPr>
        <w:t>重庆市江津区科技创新中心、重庆市江津区防震减灾中心</w:t>
      </w:r>
      <w:r>
        <w:rPr>
          <w:rFonts w:hint="eastAsia" w:ascii="宋体" w:hAnsi="宋体" w:eastAsia="方正仿宋_GBK" w:cs="方正仿宋_GBK"/>
          <w:b w:val="0"/>
          <w:bCs/>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黑体_GBK" w:cs="方正黑体_GBK"/>
          <w:b w:val="0"/>
          <w:bCs/>
          <w:sz w:val="32"/>
          <w:szCs w:val="32"/>
        </w:rPr>
        <w:t>二、部门决算情况说明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（一）收入支出决算总体情况说明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仿宋_GBK" w:cs="方正仿宋_GBK"/>
          <w:b w:val="0"/>
          <w:bCs/>
          <w:sz w:val="32"/>
          <w:szCs w:val="32"/>
        </w:rPr>
        <w:t>1.总体情况。</w:t>
      </w:r>
      <w:r>
        <w:rPr>
          <w:rFonts w:hint="eastAsia" w:ascii="宋体" w:hAnsi="宋体" w:eastAsia="方正仿宋_GBK" w:cs="方正仿宋_GBK"/>
          <w:b w:val="0"/>
          <w:bCs/>
          <w:sz w:val="32"/>
          <w:szCs w:val="32"/>
        </w:rPr>
        <w:t>2022年度收入总计952.12万元，支出总计952.1</w:t>
      </w:r>
      <w:r>
        <w:rPr>
          <w:rFonts w:hint="eastAsia" w:ascii="宋体" w:hAnsi="宋体" w:eastAsia="方正仿宋_GBK" w:cs="方正仿宋_GBK"/>
          <w:b w:val="0"/>
          <w:bCs/>
          <w:color w:val="auto"/>
          <w:sz w:val="32"/>
          <w:szCs w:val="32"/>
        </w:rPr>
        <w:t>2万元。收支较上年决算数增加952.12万元,增长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仿宋_GBK" w:cs="方正仿宋_GBK"/>
          <w:b w:val="0"/>
          <w:bCs/>
          <w:color w:val="auto"/>
          <w:sz w:val="32"/>
          <w:szCs w:val="32"/>
        </w:rPr>
        <w:t>2.收入情况。</w:t>
      </w:r>
      <w:r>
        <w:rPr>
          <w:rFonts w:hint="eastAsia" w:ascii="宋体" w:hAnsi="宋体" w:eastAsia="方正仿宋_GBK" w:cs="方正仿宋_GBK"/>
          <w:b w:val="0"/>
          <w:bCs/>
          <w:color w:val="auto"/>
          <w:sz w:val="32"/>
          <w:szCs w:val="32"/>
        </w:rPr>
        <w:t>2022年度收入合计952.12万元，较上年决算数增加952.12万元，增长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。其中：财政拨款收入952.12万元，占100%；</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仿宋_GBK" w:cs="方正仿宋_GBK"/>
          <w:b w:val="0"/>
          <w:bCs/>
          <w:color w:val="auto"/>
          <w:sz w:val="32"/>
          <w:szCs w:val="32"/>
        </w:rPr>
        <w:t>3.支出情况。</w:t>
      </w:r>
      <w:r>
        <w:rPr>
          <w:rFonts w:hint="eastAsia" w:ascii="宋体" w:hAnsi="宋体" w:eastAsia="方正仿宋_GBK" w:cs="方正仿宋_GBK"/>
          <w:b w:val="0"/>
          <w:bCs/>
          <w:color w:val="auto"/>
          <w:sz w:val="32"/>
          <w:szCs w:val="32"/>
        </w:rPr>
        <w:t>2022年度支出合计952.12万元，较上年决算增加952.12万元，增长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。其中：基本支出631.56万元，占66.3%；项目支出320.56万元，占33.7%；</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eastAsia="zh-CN"/>
        </w:rPr>
      </w:pPr>
      <w:r>
        <w:rPr>
          <w:rStyle w:val="10"/>
          <w:rFonts w:hint="eastAsia" w:ascii="宋体" w:hAnsi="宋体" w:eastAsia="方正仿宋_GBK" w:cs="方正仿宋_GBK"/>
          <w:b w:val="0"/>
          <w:bCs/>
          <w:color w:val="auto"/>
          <w:sz w:val="32"/>
          <w:szCs w:val="32"/>
        </w:rPr>
        <w:t>4.结转结余情况。</w:t>
      </w:r>
      <w:r>
        <w:rPr>
          <w:rStyle w:val="10"/>
          <w:rFonts w:hint="eastAsia" w:ascii="宋体" w:hAnsi="宋体" w:eastAsia="方正仿宋_GBK" w:cs="方正仿宋_GBK"/>
          <w:b w:val="0"/>
          <w:bCs/>
          <w:color w:val="auto"/>
          <w:sz w:val="32"/>
          <w:szCs w:val="32"/>
          <w:lang w:eastAsia="zh-CN"/>
        </w:rPr>
        <w:t>本年度无结转结余。</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（二）财政拨款收入支出决算总体情况说明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2022年度财政拨款收、支总计952.12万元。与2021年相比，财政拨款收、支总计各增加952.12万元，增长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楷体_GBK" w:cs="方正楷体_GBK"/>
          <w:b w:val="0"/>
          <w:bCs/>
          <w:color w:val="auto"/>
          <w:sz w:val="32"/>
          <w:szCs w:val="32"/>
        </w:rPr>
        <w:t>（三）一般公共预算财政拨款收入支出决算情况说</w:t>
      </w:r>
      <w:r>
        <w:rPr>
          <w:rStyle w:val="10"/>
          <w:rFonts w:hint="eastAsia" w:ascii="宋体" w:hAnsi="宋体" w:eastAsia="方正仿宋_GBK" w:cs="方正仿宋_GBK"/>
          <w:b w:val="0"/>
          <w:bCs/>
          <w:color w:val="auto"/>
          <w:sz w:val="32"/>
          <w:szCs w:val="32"/>
        </w:rPr>
        <w:t>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仿宋_GBK" w:cs="方正仿宋_GBK"/>
          <w:b w:val="0"/>
          <w:bCs/>
          <w:color w:val="auto"/>
          <w:sz w:val="32"/>
          <w:szCs w:val="32"/>
        </w:rPr>
        <w:t>1.收入情况。</w:t>
      </w:r>
      <w:r>
        <w:rPr>
          <w:rFonts w:hint="eastAsia" w:ascii="宋体" w:hAnsi="宋体" w:eastAsia="方正仿宋_GBK" w:cs="方正仿宋_GBK"/>
          <w:b w:val="0"/>
          <w:bCs/>
          <w:color w:val="auto"/>
          <w:sz w:val="32"/>
          <w:szCs w:val="32"/>
        </w:rPr>
        <w:t>2022年度一般公共预算财政拨款收入952.12万元，较上年决算数增加952.12万元，增长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。较年初预算数减少205.77万元，下降17.8%。主要原因是</w:t>
      </w:r>
      <w:r>
        <w:rPr>
          <w:rFonts w:hint="eastAsia" w:hAnsi="宋体" w:eastAsia="方正仿宋_GBK" w:cs="方正仿宋_GBK"/>
          <w:vanish w:val="0"/>
          <w:color w:val="auto"/>
          <w:sz w:val="32"/>
          <w:szCs w:val="32"/>
          <w:shd w:val="clear" w:color="auto" w:fill="auto"/>
          <w:lang w:eastAsia="zh-CN"/>
        </w:rPr>
        <w:t>受减税降费和疫情影响，各级各部门大幅度压减公用支出和项目支出。</w:t>
      </w:r>
      <w:r>
        <w:rPr>
          <w:rFonts w:hint="eastAsia" w:ascii="宋体" w:hAnsi="宋体" w:eastAsia="方正仿宋_GBK" w:cs="方正仿宋_GBK"/>
          <w:b w:val="0"/>
          <w:bCs/>
          <w:color w:val="auto"/>
          <w:sz w:val="32"/>
          <w:szCs w:val="32"/>
        </w:rPr>
        <w:t>此外，年初财政拨款结转和结余0.00万元。</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仿宋_GBK" w:cs="方正仿宋_GBK"/>
          <w:b w:val="0"/>
          <w:bCs/>
          <w:color w:val="auto"/>
          <w:sz w:val="32"/>
          <w:szCs w:val="32"/>
        </w:rPr>
        <w:t>2.支出情况。</w:t>
      </w:r>
      <w:r>
        <w:rPr>
          <w:rFonts w:hint="eastAsia" w:ascii="宋体" w:hAnsi="宋体" w:eastAsia="方正仿宋_GBK" w:cs="方正仿宋_GBK"/>
          <w:b w:val="0"/>
          <w:bCs/>
          <w:color w:val="auto"/>
          <w:sz w:val="32"/>
          <w:szCs w:val="32"/>
        </w:rPr>
        <w:t>2022年度一般公共预算财政拨款支出952.12万元，较上年决算数增加952.12万元，增长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。较年初预算数减少205.77万元，下降17.8%。主要原因是</w:t>
      </w:r>
      <w:r>
        <w:rPr>
          <w:rFonts w:hint="eastAsia" w:hAnsi="宋体" w:eastAsia="方正仿宋_GBK" w:cs="方正仿宋_GBK"/>
          <w:vanish w:val="0"/>
          <w:color w:val="auto"/>
          <w:sz w:val="32"/>
          <w:szCs w:val="32"/>
          <w:shd w:val="clear" w:color="auto" w:fill="auto"/>
          <w:lang w:eastAsia="zh-CN"/>
        </w:rPr>
        <w:t>受减税降费和疫情影响，各级各部门大幅度压减公用支出和项目支出。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color w:val="auto"/>
          <w:sz w:val="32"/>
          <w:szCs w:val="32"/>
          <w:lang w:eastAsia="zh-CN"/>
        </w:rPr>
      </w:pPr>
      <w:r>
        <w:rPr>
          <w:rStyle w:val="10"/>
          <w:rFonts w:hint="eastAsia" w:ascii="宋体" w:hAnsi="宋体" w:eastAsia="方正仿宋_GBK" w:cs="方正仿宋_GBK"/>
          <w:b w:val="0"/>
          <w:bCs/>
          <w:color w:val="auto"/>
          <w:sz w:val="32"/>
          <w:szCs w:val="32"/>
        </w:rPr>
        <w:t>3.结转结余情况。</w:t>
      </w:r>
      <w:r>
        <w:rPr>
          <w:rStyle w:val="10"/>
          <w:rFonts w:hint="eastAsia" w:ascii="宋体" w:hAnsi="宋体" w:eastAsia="方正仿宋_GBK" w:cs="方正仿宋_GBK"/>
          <w:b w:val="0"/>
          <w:bCs/>
          <w:color w:val="auto"/>
          <w:sz w:val="32"/>
          <w:szCs w:val="32"/>
          <w:lang w:eastAsia="zh-CN"/>
        </w:rPr>
        <w:t>本年度无结转结余</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仿宋_GBK" w:cs="方正仿宋_GBK"/>
          <w:b w:val="0"/>
          <w:bCs/>
          <w:color w:val="auto"/>
          <w:sz w:val="32"/>
          <w:szCs w:val="32"/>
        </w:rPr>
        <w:t>4.比较情况。</w:t>
      </w:r>
      <w:r>
        <w:rPr>
          <w:rFonts w:hint="eastAsia" w:ascii="宋体" w:hAnsi="宋体" w:eastAsia="方正仿宋_GBK" w:cs="方正仿宋_GBK"/>
          <w:b w:val="0"/>
          <w:bCs/>
          <w:color w:val="auto"/>
          <w:sz w:val="32"/>
          <w:szCs w:val="32"/>
        </w:rPr>
        <w:t>本部门2022年度一般公共预算财政拨款支出主要用于以下几个方面：</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eastAsia="zh-CN"/>
        </w:rPr>
      </w:pP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val="en-US" w:eastAsia="zh-CN"/>
        </w:rPr>
        <w:t>1</w:t>
      </w:r>
      <w:r>
        <w:rPr>
          <w:rFonts w:hint="eastAsia" w:ascii="宋体" w:hAnsi="宋体" w:eastAsia="方正仿宋_GBK" w:cs="方正仿宋_GBK"/>
          <w:b w:val="0"/>
          <w:bCs/>
          <w:color w:val="auto"/>
          <w:sz w:val="32"/>
          <w:szCs w:val="32"/>
        </w:rPr>
        <w:t>）教育支出3.14万元，占0.3%，</w:t>
      </w:r>
      <w:r>
        <w:rPr>
          <w:rFonts w:hint="eastAsia" w:ascii="宋体" w:hAnsi="宋体" w:eastAsia="方正仿宋_GBK" w:cs="方正仿宋_GBK"/>
          <w:b w:val="0"/>
          <w:bCs/>
          <w:color w:val="auto"/>
          <w:sz w:val="32"/>
          <w:szCs w:val="32"/>
          <w:lang w:eastAsia="zh-CN"/>
        </w:rPr>
        <w:t>较年初预算数持平。</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val="en-US" w:eastAsia="zh-CN"/>
        </w:rPr>
        <w:t>2</w:t>
      </w:r>
      <w:r>
        <w:rPr>
          <w:rFonts w:hint="eastAsia" w:ascii="宋体" w:hAnsi="宋体" w:eastAsia="方正仿宋_GBK" w:cs="方正仿宋_GBK"/>
          <w:b w:val="0"/>
          <w:bCs/>
          <w:color w:val="auto"/>
          <w:sz w:val="32"/>
          <w:szCs w:val="32"/>
        </w:rPr>
        <w:t>）科学技术支出777.07万元，占81.6%，较年初预算数减少208.05万元，下降21.1%</w:t>
      </w:r>
      <w:r>
        <w:rPr>
          <w:rFonts w:hint="eastAsia" w:ascii="宋体" w:hAnsi="宋体" w:eastAsia="方正仿宋_GBK" w:cs="方正仿宋_GBK"/>
          <w:b w:val="0"/>
          <w:bCs/>
          <w:color w:val="auto"/>
          <w:sz w:val="32"/>
          <w:szCs w:val="32"/>
          <w:highlight w:val="none"/>
        </w:rPr>
        <w:t>，主要原因是</w:t>
      </w:r>
      <w:r>
        <w:rPr>
          <w:rFonts w:hint="eastAsia" w:hAnsi="宋体" w:eastAsia="方正仿宋_GBK" w:cs="方正仿宋_GBK"/>
          <w:vanish w:val="0"/>
          <w:color w:val="auto"/>
          <w:sz w:val="32"/>
          <w:szCs w:val="32"/>
          <w:shd w:val="clear" w:color="auto" w:fill="auto"/>
          <w:lang w:eastAsia="zh-CN"/>
        </w:rPr>
        <w:t>受减税降费和疫情影响，各级各部门大幅度压减公用支出和项目支出。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val="en-US" w:eastAsia="zh-CN"/>
        </w:rPr>
        <w:t>3</w:t>
      </w:r>
      <w:r>
        <w:rPr>
          <w:rFonts w:hint="eastAsia" w:ascii="宋体" w:hAnsi="宋体" w:eastAsia="方正仿宋_GBK" w:cs="方正仿宋_GBK"/>
          <w:b w:val="0"/>
          <w:bCs/>
          <w:color w:val="auto"/>
          <w:sz w:val="32"/>
          <w:szCs w:val="32"/>
        </w:rPr>
        <w:t>）社会保障与就业支出98.51万元，占10.3%，较年初预算数增加2.27万元，增长2.4%，主要原因是</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val="en-US" w:eastAsia="zh-CN"/>
        </w:rPr>
        <w:t>4</w:t>
      </w:r>
      <w:r>
        <w:rPr>
          <w:rFonts w:hint="eastAsia" w:ascii="宋体" w:hAnsi="宋体" w:eastAsia="方正仿宋_GBK" w:cs="方正仿宋_GBK"/>
          <w:b w:val="0"/>
          <w:bCs/>
          <w:color w:val="auto"/>
          <w:sz w:val="32"/>
          <w:szCs w:val="32"/>
        </w:rPr>
        <w:t>）卫生健康支出33.36万元，占3.5%，</w:t>
      </w:r>
      <w:r>
        <w:rPr>
          <w:rFonts w:hint="eastAsia" w:ascii="宋体" w:hAnsi="宋体" w:eastAsia="方正仿宋_GBK" w:cs="方正仿宋_GBK"/>
          <w:b w:val="0"/>
          <w:bCs/>
          <w:color w:val="auto"/>
          <w:sz w:val="32"/>
          <w:szCs w:val="32"/>
          <w:lang w:eastAsia="zh-CN"/>
        </w:rPr>
        <w:t>较年初预算数持平。</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eastAsia="zh-CN"/>
        </w:rPr>
      </w:pP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val="en-US" w:eastAsia="zh-CN"/>
        </w:rPr>
        <w:t>5</w:t>
      </w:r>
      <w:r>
        <w:rPr>
          <w:rFonts w:hint="eastAsia" w:ascii="宋体" w:hAnsi="宋体" w:eastAsia="方正仿宋_GBK" w:cs="方正仿宋_GBK"/>
          <w:b w:val="0"/>
          <w:bCs/>
          <w:color w:val="auto"/>
          <w:sz w:val="32"/>
          <w:szCs w:val="32"/>
        </w:rPr>
        <w:t>）住房保障支出25.04万元，占2.6%，</w:t>
      </w:r>
      <w:r>
        <w:rPr>
          <w:rFonts w:hint="eastAsia" w:ascii="宋体" w:hAnsi="宋体" w:eastAsia="方正仿宋_GBK" w:cs="方正仿宋_GBK"/>
          <w:b w:val="0"/>
          <w:bCs/>
          <w:color w:val="auto"/>
          <w:sz w:val="32"/>
          <w:szCs w:val="32"/>
          <w:lang w:eastAsia="zh-CN"/>
        </w:rPr>
        <w:t>较年初预算数持平。</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eastAsia="zh-CN"/>
        </w:rPr>
      </w:pPr>
      <w:r>
        <w:rPr>
          <w:rFonts w:hint="eastAsia" w:ascii="宋体" w:hAnsi="宋体" w:eastAsia="方正仿宋_GBK" w:cs="方正仿宋_GBK"/>
          <w:b w:val="0"/>
          <w:bCs/>
          <w:color w:val="auto"/>
          <w:sz w:val="32"/>
          <w:szCs w:val="32"/>
        </w:rPr>
        <w:t>（</w:t>
      </w:r>
      <w:r>
        <w:rPr>
          <w:rFonts w:hint="eastAsia" w:ascii="宋体" w:hAnsi="宋体" w:eastAsia="方正仿宋_GBK" w:cs="方正仿宋_GBK"/>
          <w:b w:val="0"/>
          <w:bCs/>
          <w:color w:val="auto"/>
          <w:sz w:val="32"/>
          <w:szCs w:val="32"/>
          <w:lang w:val="en-US" w:eastAsia="zh-CN"/>
        </w:rPr>
        <w:t>6</w:t>
      </w:r>
      <w:r>
        <w:rPr>
          <w:rFonts w:hint="eastAsia" w:ascii="宋体" w:hAnsi="宋体" w:eastAsia="方正仿宋_GBK" w:cs="方正仿宋_GBK"/>
          <w:b w:val="0"/>
          <w:bCs/>
          <w:color w:val="auto"/>
          <w:sz w:val="32"/>
          <w:szCs w:val="32"/>
        </w:rPr>
        <w:t>）灾害防治及应急管理支出15.00万元，占1.6%，</w:t>
      </w:r>
      <w:r>
        <w:rPr>
          <w:rFonts w:hint="eastAsia" w:ascii="宋体" w:hAnsi="宋体" w:eastAsia="方正仿宋_GBK" w:cs="方正仿宋_GBK"/>
          <w:b w:val="0"/>
          <w:bCs/>
          <w:color w:val="auto"/>
          <w:sz w:val="32"/>
          <w:szCs w:val="32"/>
          <w:lang w:eastAsia="zh-CN"/>
        </w:rPr>
        <w:t>较年初预算数持平。</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楷体_GBK" w:cs="方正楷体_GBK"/>
          <w:b w:val="0"/>
          <w:bCs/>
          <w:color w:val="auto"/>
          <w:sz w:val="32"/>
          <w:szCs w:val="32"/>
        </w:rPr>
        <w:t>（四）一般公共预算财政拨款基本支出决算情况说明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eastAsia="zh-CN"/>
        </w:rPr>
      </w:pPr>
      <w:r>
        <w:rPr>
          <w:rFonts w:hint="eastAsia" w:ascii="宋体" w:hAnsi="宋体" w:eastAsia="方正仿宋_GBK" w:cs="方正仿宋_GBK"/>
          <w:b w:val="0"/>
          <w:bCs/>
          <w:color w:val="auto"/>
          <w:sz w:val="32"/>
          <w:szCs w:val="32"/>
        </w:rPr>
        <w:t>2022年度一般公共预算财政拨款基本支出631.56万元。其中：人员经费530.17万元，较上年决算数增加530.17万元，增长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。人员经费用途主要包括</w:t>
      </w:r>
      <w:r>
        <w:rPr>
          <w:rFonts w:hint="eastAsia" w:ascii="宋体" w:hAnsi="宋体" w:eastAsia="方正仿宋_GBK" w:cs="方正仿宋_GBK"/>
          <w:b w:val="0"/>
          <w:bCs/>
          <w:i w:val="0"/>
          <w:iCs w:val="0"/>
          <w:caps w:val="0"/>
          <w:color w:val="auto"/>
          <w:spacing w:val="0"/>
          <w:sz w:val="32"/>
          <w:szCs w:val="32"/>
          <w:shd w:val="clear" w:fill="FFFFFF"/>
        </w:rPr>
        <w:t>人员工资、住房公积金、养老保险、职业年金、医疗保险等</w:t>
      </w:r>
      <w:r>
        <w:rPr>
          <w:rFonts w:hint="eastAsia" w:ascii="宋体" w:hAnsi="宋体" w:eastAsia="方正仿宋_GBK" w:cs="方正仿宋_GBK"/>
          <w:b w:val="0"/>
          <w:bCs/>
          <w:color w:val="auto"/>
          <w:sz w:val="32"/>
          <w:szCs w:val="32"/>
        </w:rPr>
        <w:t>。公用经费101.38万元，较上年决算数增加101.38万元，增长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。公用经费用途主要包括</w:t>
      </w:r>
      <w:r>
        <w:rPr>
          <w:rFonts w:hint="eastAsia" w:ascii="宋体" w:hAnsi="宋体" w:eastAsia="方正仿宋_GBK" w:cs="方正仿宋_GBK"/>
          <w:b w:val="0"/>
          <w:bCs/>
          <w:i w:val="0"/>
          <w:iCs w:val="0"/>
          <w:caps w:val="0"/>
          <w:color w:val="auto"/>
          <w:spacing w:val="0"/>
          <w:sz w:val="32"/>
          <w:szCs w:val="32"/>
          <w:shd w:val="clear" w:fill="FFFFFF"/>
        </w:rPr>
        <w:t>办公费、印刷费、通信费、物业费、水电费、会议费、培训费、差旅费、接待 费、劳务费、交通费等</w:t>
      </w:r>
      <w:r>
        <w:rPr>
          <w:rFonts w:hint="eastAsia" w:ascii="宋体" w:hAnsi="宋体" w:eastAsia="方正仿宋_GBK" w:cs="方正仿宋_GBK"/>
          <w:b w:val="0"/>
          <w:bCs/>
          <w:i w:val="0"/>
          <w:iCs w:val="0"/>
          <w:caps w:val="0"/>
          <w:color w:val="auto"/>
          <w:spacing w:val="0"/>
          <w:sz w:val="32"/>
          <w:szCs w:val="32"/>
          <w:shd w:val="clear" w:fill="FFFFFF"/>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（五）政府性基金预算收支决算情况说明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i w:val="0"/>
          <w:iCs w:val="0"/>
          <w:caps w:val="0"/>
          <w:color w:val="auto"/>
          <w:spacing w:val="0"/>
          <w:sz w:val="32"/>
          <w:szCs w:val="32"/>
        </w:rPr>
      </w:pPr>
      <w:r>
        <w:rPr>
          <w:rFonts w:hint="eastAsia" w:ascii="宋体" w:hAnsi="宋体" w:eastAsia="方正仿宋_GBK" w:cs="方正仿宋_GBK"/>
          <w:b w:val="0"/>
          <w:bCs/>
          <w:i w:val="0"/>
          <w:iCs w:val="0"/>
          <w:caps w:val="0"/>
          <w:color w:val="auto"/>
          <w:spacing w:val="0"/>
          <w:sz w:val="32"/>
          <w:szCs w:val="32"/>
        </w:rPr>
        <w:t>本部门202</w:t>
      </w:r>
      <w:r>
        <w:rPr>
          <w:rFonts w:hint="eastAsia" w:ascii="宋体" w:hAnsi="宋体" w:eastAsia="方正仿宋_GBK" w:cs="方正仿宋_GBK"/>
          <w:b w:val="0"/>
          <w:bCs/>
          <w:i w:val="0"/>
          <w:iCs w:val="0"/>
          <w:caps w:val="0"/>
          <w:color w:val="auto"/>
          <w:spacing w:val="0"/>
          <w:sz w:val="32"/>
          <w:szCs w:val="32"/>
          <w:lang w:val="en-US" w:eastAsia="zh-CN"/>
        </w:rPr>
        <w:t>2</w:t>
      </w:r>
      <w:r>
        <w:rPr>
          <w:rFonts w:hint="eastAsia" w:ascii="宋体" w:hAnsi="宋体" w:eastAsia="方正仿宋_GBK" w:cs="方正仿宋_GBK"/>
          <w:b w:val="0"/>
          <w:bCs/>
          <w:i w:val="0"/>
          <w:iCs w:val="0"/>
          <w:caps w:val="0"/>
          <w:color w:val="auto"/>
          <w:spacing w:val="0"/>
          <w:sz w:val="32"/>
          <w:szCs w:val="32"/>
        </w:rPr>
        <w:t>年度无政府性基金预算财政拨款收支。</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（六）国有资本经营预算财政拨款支出决算情况说明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i w:val="0"/>
          <w:iCs w:val="0"/>
          <w:caps w:val="0"/>
          <w:color w:val="auto"/>
          <w:spacing w:val="0"/>
          <w:sz w:val="32"/>
          <w:szCs w:val="32"/>
        </w:rPr>
      </w:pPr>
      <w:r>
        <w:rPr>
          <w:rFonts w:hint="eastAsia" w:ascii="宋体" w:hAnsi="宋体" w:eastAsia="方正仿宋_GBK" w:cs="方正仿宋_GBK"/>
          <w:b w:val="0"/>
          <w:bCs/>
          <w:i w:val="0"/>
          <w:iCs w:val="0"/>
          <w:caps w:val="0"/>
          <w:color w:val="auto"/>
          <w:spacing w:val="0"/>
          <w:sz w:val="32"/>
          <w:szCs w:val="32"/>
        </w:rPr>
        <w:t>本部门2022年度无国有资本经营预算财政拨款支出。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黑体_GBK" w:cs="方正黑体_GBK"/>
          <w:b w:val="0"/>
          <w:bCs/>
          <w:color w:val="auto"/>
          <w:sz w:val="32"/>
          <w:szCs w:val="32"/>
        </w:rPr>
        <w:t>三、“三公”经费情况说明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楷体_GBK" w:cs="方正楷体_GBK"/>
          <w:b w:val="0"/>
          <w:bCs/>
          <w:color w:val="auto"/>
          <w:sz w:val="32"/>
          <w:szCs w:val="32"/>
        </w:rPr>
        <w:t>（一）“三公”经费支出总体情况说明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2022年度“三公”经费支出共计0.65万元，较年初预算数减少2.35万元，下降78.3%，主要原因是</w:t>
      </w:r>
      <w:r>
        <w:rPr>
          <w:rFonts w:hint="eastAsia" w:ascii="宋体" w:hAnsi="宋体" w:eastAsia="方正仿宋_GBK" w:cs="方正仿宋_GBK"/>
          <w:b w:val="0"/>
          <w:bCs/>
          <w:color w:val="auto"/>
          <w:sz w:val="32"/>
          <w:szCs w:val="32"/>
          <w:shd w:val="clear" w:fill="FFFFFF"/>
        </w:rPr>
        <w:t>主要原因一是严格执行中央八项规定精神，严控接待规格和陪餐人数，二是疫情原因，接待次数相应减少</w:t>
      </w:r>
      <w:r>
        <w:rPr>
          <w:rFonts w:hint="eastAsia" w:ascii="宋体" w:hAnsi="宋体" w:eastAsia="方正仿宋_GBK" w:cs="方正仿宋_GBK"/>
          <w:b w:val="0"/>
          <w:bCs/>
          <w:color w:val="auto"/>
          <w:sz w:val="32"/>
          <w:szCs w:val="32"/>
          <w:shd w:val="clear" w:fill="FFFFFF"/>
          <w:lang w:eastAsia="zh-CN"/>
        </w:rPr>
        <w:t>。</w:t>
      </w:r>
      <w:r>
        <w:rPr>
          <w:rFonts w:hint="eastAsia" w:ascii="宋体" w:hAnsi="宋体" w:eastAsia="方正仿宋_GBK" w:cs="方正仿宋_GBK"/>
          <w:b w:val="0"/>
          <w:bCs/>
          <w:color w:val="auto"/>
          <w:sz w:val="32"/>
          <w:szCs w:val="32"/>
        </w:rPr>
        <w:t>较上年支出数增加0.65万元，增长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（二）“三公”经费分项支出情况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i w:val="0"/>
          <w:iCs w:val="0"/>
          <w:caps w:val="0"/>
          <w:color w:val="auto"/>
          <w:spacing w:val="0"/>
          <w:sz w:val="32"/>
          <w:szCs w:val="32"/>
        </w:rPr>
        <w:t>202</w:t>
      </w:r>
      <w:r>
        <w:rPr>
          <w:rFonts w:hint="eastAsia" w:ascii="宋体" w:hAnsi="宋体" w:eastAsia="方正仿宋_GBK" w:cs="方正仿宋_GBK"/>
          <w:b w:val="0"/>
          <w:bCs/>
          <w:i w:val="0"/>
          <w:iCs w:val="0"/>
          <w:caps w:val="0"/>
          <w:color w:val="auto"/>
          <w:spacing w:val="0"/>
          <w:sz w:val="32"/>
          <w:szCs w:val="32"/>
          <w:lang w:val="en-US" w:eastAsia="zh-CN"/>
        </w:rPr>
        <w:t>2</w:t>
      </w:r>
      <w:r>
        <w:rPr>
          <w:rFonts w:hint="eastAsia" w:ascii="宋体" w:hAnsi="宋体" w:eastAsia="方正仿宋_GBK" w:cs="方正仿宋_GBK"/>
          <w:b w:val="0"/>
          <w:bCs/>
          <w:i w:val="0"/>
          <w:iCs w:val="0"/>
          <w:caps w:val="0"/>
          <w:color w:val="auto"/>
          <w:spacing w:val="0"/>
          <w:sz w:val="32"/>
          <w:szCs w:val="32"/>
        </w:rPr>
        <w:t>年度本部门未发生因公出国（境）费用；未发生公务车购置费；未发生公务车运行维护费（无公务车）。</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公务接待费0.65万元，主要用于接待</w:t>
      </w:r>
      <w:r>
        <w:rPr>
          <w:rFonts w:hint="eastAsia" w:ascii="宋体" w:hAnsi="宋体" w:eastAsia="方正仿宋_GBK" w:cs="方正仿宋_GBK"/>
          <w:b w:val="0"/>
          <w:bCs/>
          <w:color w:val="auto"/>
          <w:sz w:val="32"/>
          <w:szCs w:val="32"/>
          <w:shd w:val="clear" w:fill="FFFFFF"/>
          <w:lang w:eastAsia="zh-CN"/>
        </w:rPr>
        <w:t>市级部门来津考察及重庆交通大学产学研合作项目</w:t>
      </w:r>
      <w:r>
        <w:rPr>
          <w:rFonts w:hint="eastAsia" w:ascii="宋体" w:hAnsi="宋体" w:eastAsia="方正仿宋_GBK" w:cs="方正仿宋_GBK"/>
          <w:b w:val="0"/>
          <w:bCs/>
          <w:color w:val="auto"/>
          <w:sz w:val="32"/>
          <w:szCs w:val="32"/>
          <w:shd w:val="clear" w:fill="FFFFFF"/>
        </w:rPr>
        <w:t>。</w:t>
      </w:r>
      <w:r>
        <w:rPr>
          <w:rFonts w:hint="eastAsia" w:ascii="宋体" w:hAnsi="宋体" w:eastAsia="方正仿宋_GBK" w:cs="方正仿宋_GBK"/>
          <w:b w:val="0"/>
          <w:bCs/>
          <w:color w:val="auto"/>
          <w:sz w:val="32"/>
          <w:szCs w:val="32"/>
        </w:rPr>
        <w:t>费用支出较年初预算数减少2.35万元，下降78.3%，主要原因是</w:t>
      </w:r>
      <w:r>
        <w:rPr>
          <w:rFonts w:hint="eastAsia" w:ascii="宋体" w:hAnsi="宋体" w:eastAsia="方正仿宋_GBK" w:cs="方正仿宋_GBK"/>
          <w:b w:val="0"/>
          <w:bCs/>
          <w:color w:val="auto"/>
          <w:sz w:val="32"/>
          <w:szCs w:val="32"/>
          <w:shd w:val="clear" w:fill="FFFFFF"/>
        </w:rPr>
        <w:t>主要原因一是严格执行中央八项规定精神，严控接待规格和陪餐人数，二是疫情原因，接待次数相应减少</w:t>
      </w:r>
      <w:r>
        <w:rPr>
          <w:rFonts w:hint="eastAsia" w:ascii="宋体" w:hAnsi="宋体" w:eastAsia="方正仿宋_GBK" w:cs="方正仿宋_GBK"/>
          <w:b w:val="0"/>
          <w:bCs/>
          <w:color w:val="auto"/>
          <w:sz w:val="32"/>
          <w:szCs w:val="32"/>
          <w:shd w:val="clear" w:fill="FFFFFF"/>
          <w:lang w:eastAsia="zh-CN"/>
        </w:rPr>
        <w:t>。</w:t>
      </w:r>
      <w:r>
        <w:rPr>
          <w:rFonts w:hint="eastAsia" w:ascii="宋体" w:hAnsi="宋体" w:eastAsia="方正仿宋_GBK" w:cs="方正仿宋_GBK"/>
          <w:b w:val="0"/>
          <w:bCs/>
          <w:color w:val="auto"/>
          <w:sz w:val="32"/>
          <w:szCs w:val="32"/>
        </w:rPr>
        <w:t>较上年支出数增加0.65万元，增长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r>
        <w:rPr>
          <w:rFonts w:hint="eastAsia" w:ascii="宋体" w:hAnsi="宋体" w:eastAsia="方正仿宋_GBK" w:cs="方正仿宋_GBK"/>
          <w:b w:val="0"/>
          <w:bCs/>
          <w:color w:val="auto"/>
          <w:sz w:val="32"/>
          <w:szCs w:val="32"/>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（三）“三公”经费实物量情况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2022年度本部门</w:t>
      </w:r>
      <w:r>
        <w:rPr>
          <w:rFonts w:hint="eastAsia" w:ascii="宋体" w:hAnsi="宋体" w:eastAsia="方正仿宋_GBK" w:cs="方正仿宋_GBK"/>
          <w:b w:val="0"/>
          <w:bCs/>
          <w:color w:val="auto"/>
          <w:sz w:val="32"/>
          <w:szCs w:val="32"/>
          <w:lang w:eastAsia="zh-CN"/>
        </w:rPr>
        <w:t>无</w:t>
      </w:r>
      <w:r>
        <w:rPr>
          <w:rFonts w:hint="eastAsia" w:ascii="宋体" w:hAnsi="宋体" w:eastAsia="方正仿宋_GBK" w:cs="方正仿宋_GBK"/>
          <w:b w:val="0"/>
          <w:bCs/>
          <w:color w:val="auto"/>
          <w:sz w:val="32"/>
          <w:szCs w:val="32"/>
        </w:rPr>
        <w:t>因公出国（境）团组；</w:t>
      </w:r>
      <w:r>
        <w:rPr>
          <w:rFonts w:hint="eastAsia" w:ascii="宋体" w:hAnsi="宋体" w:eastAsia="方正仿宋_GBK" w:cs="方正仿宋_GBK"/>
          <w:b w:val="0"/>
          <w:bCs/>
          <w:color w:val="auto"/>
          <w:sz w:val="32"/>
          <w:szCs w:val="32"/>
          <w:lang w:eastAsia="zh-CN"/>
        </w:rPr>
        <w:t>无</w:t>
      </w:r>
      <w:r>
        <w:rPr>
          <w:rFonts w:hint="eastAsia" w:ascii="宋体" w:hAnsi="宋体" w:eastAsia="方正仿宋_GBK" w:cs="方正仿宋_GBK"/>
          <w:b w:val="0"/>
          <w:bCs/>
          <w:color w:val="auto"/>
          <w:sz w:val="32"/>
          <w:szCs w:val="32"/>
        </w:rPr>
        <w:t>公务用车，公务车保有量为0辆；国内公务接待9批次52人，其中：国内外事接待0批次，0人；国（境）外公务接待0批次，0人。2022年本部门人均接待费124.33元，车均购置费0.00万元，车均维护费0.00万元。</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黑体_GBK" w:cs="方正黑体_GBK"/>
          <w:b w:val="0"/>
          <w:bCs/>
          <w:color w:val="auto"/>
          <w:sz w:val="32"/>
          <w:szCs w:val="32"/>
        </w:rPr>
        <w:t>四、其他需要说明的事项</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楷体_GBK" w:cs="方正楷体_GBK"/>
          <w:b w:val="0"/>
          <w:bCs/>
          <w:color w:val="auto"/>
          <w:sz w:val="32"/>
          <w:szCs w:val="32"/>
        </w:rPr>
        <w:t>（一）机关运行经费支出情况说明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val="en-US" w:eastAsia="zh-CN"/>
        </w:rPr>
      </w:pPr>
      <w:r>
        <w:rPr>
          <w:rFonts w:hint="eastAsia" w:ascii="宋体" w:hAnsi="宋体" w:eastAsia="方正仿宋_GBK" w:cs="方正仿宋_GBK"/>
          <w:b w:val="0"/>
          <w:bCs/>
          <w:color w:val="auto"/>
          <w:sz w:val="32"/>
          <w:szCs w:val="32"/>
        </w:rPr>
        <w:t>2022年度本部门机关运行经费支出45.27万元，主要用于</w:t>
      </w:r>
      <w:r>
        <w:rPr>
          <w:rFonts w:hint="eastAsia" w:ascii="宋体" w:hAnsi="宋体" w:eastAsia="方正仿宋_GBK" w:cs="方正仿宋_GBK"/>
          <w:b w:val="0"/>
          <w:bCs/>
          <w:i w:val="0"/>
          <w:iCs w:val="0"/>
          <w:caps w:val="0"/>
          <w:color w:val="auto"/>
          <w:spacing w:val="0"/>
          <w:sz w:val="32"/>
          <w:szCs w:val="32"/>
          <w:shd w:val="clear" w:fill="FFFFFF"/>
        </w:rPr>
        <w:t>开支办公费、印刷费、通信费、物业费、水电费、会议费、培训费、差旅费、接待费、劳务费、交通费等</w:t>
      </w:r>
      <w:r>
        <w:rPr>
          <w:rFonts w:hint="eastAsia" w:ascii="宋体" w:hAnsi="宋体" w:eastAsia="方正仿宋_GBK" w:cs="方正仿宋_GBK"/>
          <w:b w:val="0"/>
          <w:bCs/>
          <w:i w:val="0"/>
          <w:iCs w:val="0"/>
          <w:caps w:val="0"/>
          <w:color w:val="auto"/>
          <w:spacing w:val="0"/>
          <w:sz w:val="32"/>
          <w:szCs w:val="32"/>
          <w:shd w:val="clear" w:fill="FFFFFF"/>
          <w:lang w:eastAsia="zh-CN"/>
        </w:rPr>
        <w:t>。</w:t>
      </w:r>
      <w:r>
        <w:rPr>
          <w:rFonts w:hint="eastAsia" w:ascii="宋体" w:hAnsi="宋体" w:eastAsia="方正仿宋_GBK" w:cs="方正仿宋_GBK"/>
          <w:b w:val="0"/>
          <w:bCs/>
          <w:color w:val="auto"/>
          <w:sz w:val="32"/>
          <w:szCs w:val="32"/>
        </w:rPr>
        <w:t>机关运行经费较上年决算数增加45.27万元，增长</w:t>
      </w:r>
      <w:r>
        <w:rPr>
          <w:rFonts w:hint="eastAsia" w:hAnsi="宋体" w:eastAsia="方正仿宋_GBK" w:cs="方正仿宋_GBK"/>
          <w:b w:val="0"/>
          <w:bCs/>
          <w:color w:val="auto"/>
          <w:sz w:val="32"/>
          <w:szCs w:val="32"/>
          <w:lang w:val="en-US" w:eastAsia="zh-CN"/>
        </w:rPr>
        <w:t>100</w:t>
      </w:r>
      <w:r>
        <w:rPr>
          <w:rFonts w:hint="eastAsia" w:ascii="宋体" w:hAnsi="宋体" w:eastAsia="方正仿宋_GBK" w:cs="方正仿宋_GBK"/>
          <w:b w:val="0"/>
          <w:bCs/>
          <w:color w:val="auto"/>
          <w:sz w:val="32"/>
          <w:szCs w:val="32"/>
        </w:rPr>
        <w:t>%，主要原因是</w:t>
      </w:r>
      <w:r>
        <w:rPr>
          <w:rFonts w:hint="eastAsia" w:hAnsi="宋体" w:eastAsia="方正仿宋_GBK" w:cs="方正仿宋_GBK"/>
          <w:b w:val="0"/>
          <w:bCs/>
          <w:color w:val="auto"/>
          <w:sz w:val="32"/>
          <w:szCs w:val="32"/>
          <w:lang w:eastAsia="zh-CN"/>
        </w:rPr>
        <w:t>上年度本部门未进行单独核算。</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（二）国有资产占用情况说明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截至2022年12月31日，本部门共有车辆0辆。单价100万元（含）以上设备（不含车辆）0台（套）。</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（三）政府采购支出说明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Fonts w:hint="eastAsia" w:ascii="宋体" w:hAnsi="宋体" w:eastAsia="方正仿宋_GBK" w:cs="方正仿宋_GBK"/>
          <w:b w:val="0"/>
          <w:bCs/>
          <w:color w:val="auto"/>
          <w:sz w:val="32"/>
          <w:szCs w:val="32"/>
        </w:rPr>
        <w:t>2022年度我单位未发生政府采购事项，无相关经费支出。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黑体_GBK" w:cs="方正黑体_GBK"/>
          <w:b w:val="0"/>
          <w:bCs/>
          <w:color w:val="auto"/>
          <w:sz w:val="32"/>
          <w:szCs w:val="32"/>
        </w:rPr>
        <w:t>五、预算绩效管理情况说明</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rPr>
      </w:pPr>
      <w:r>
        <w:rPr>
          <w:rStyle w:val="10"/>
          <w:rFonts w:hint="eastAsia" w:ascii="宋体" w:hAnsi="宋体" w:eastAsia="方正楷体_GBK" w:cs="方正楷体_GBK"/>
          <w:b w:val="0"/>
          <w:bCs/>
          <w:color w:val="auto"/>
          <w:sz w:val="32"/>
          <w:szCs w:val="32"/>
        </w:rPr>
        <w:t>（一）预算绩效管理工作开展情况</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eastAsia="zh-CN"/>
        </w:rPr>
      </w:pPr>
      <w:r>
        <w:rPr>
          <w:rFonts w:hint="eastAsia" w:ascii="宋体" w:hAnsi="宋体" w:eastAsia="方正仿宋_GBK" w:cs="方正仿宋_GBK"/>
          <w:b w:val="0"/>
          <w:bCs/>
          <w:color w:val="auto"/>
          <w:sz w:val="32"/>
          <w:szCs w:val="32"/>
        </w:rPr>
        <w:t>根据预算绩效管理要求，我局对部门整体和</w:t>
      </w:r>
      <w:r>
        <w:rPr>
          <w:rFonts w:hint="eastAsia" w:hAnsi="宋体" w:eastAsia="方正仿宋_GBK" w:cs="方正仿宋_GBK"/>
          <w:b w:val="0"/>
          <w:bCs/>
          <w:color w:val="auto"/>
          <w:sz w:val="32"/>
          <w:szCs w:val="32"/>
          <w:lang w:val="en-US" w:eastAsia="zh-CN"/>
        </w:rPr>
        <w:t>11</w:t>
      </w:r>
      <w:r>
        <w:rPr>
          <w:rFonts w:hint="eastAsia" w:ascii="宋体" w:hAnsi="宋体" w:eastAsia="方正仿宋_GBK" w:cs="方正仿宋_GBK"/>
          <w:b w:val="0"/>
          <w:bCs/>
          <w:color w:val="auto"/>
          <w:sz w:val="32"/>
          <w:szCs w:val="32"/>
        </w:rPr>
        <w:t>个项目开展了绩效自评，</w:t>
      </w:r>
      <w:r>
        <w:rPr>
          <w:rFonts w:hint="eastAsia" w:hAnsi="宋体" w:eastAsia="方正仿宋_GBK" w:cs="方正仿宋_GBK"/>
          <w:b w:val="0"/>
          <w:bCs/>
          <w:color w:val="auto"/>
          <w:sz w:val="32"/>
          <w:szCs w:val="32"/>
          <w:lang w:eastAsia="zh-CN"/>
        </w:rPr>
        <w:t>主要</w:t>
      </w:r>
      <w:r>
        <w:rPr>
          <w:rFonts w:hint="eastAsia" w:ascii="宋体" w:hAnsi="宋体" w:eastAsia="方正仿宋_GBK" w:cs="方正仿宋_GBK"/>
          <w:b w:val="0"/>
          <w:bCs/>
          <w:color w:val="auto"/>
          <w:sz w:val="32"/>
          <w:szCs w:val="32"/>
        </w:rPr>
        <w:t>以填报自评表形式开展自评</w:t>
      </w:r>
      <w:r>
        <w:rPr>
          <w:rFonts w:hint="eastAsia" w:hAnsi="宋体" w:eastAsia="方正仿宋_GBK" w:cs="方正仿宋_GBK"/>
          <w:b w:val="0"/>
          <w:bCs/>
          <w:color w:val="auto"/>
          <w:sz w:val="32"/>
          <w:szCs w:val="32"/>
          <w:lang w:val="en-US" w:eastAsia="zh-CN"/>
        </w:rPr>
        <w:t>11</w:t>
      </w:r>
      <w:r>
        <w:rPr>
          <w:rFonts w:hint="eastAsia" w:ascii="宋体" w:hAnsi="宋体" w:eastAsia="方正仿宋_GBK" w:cs="方正仿宋_GBK"/>
          <w:b w:val="0"/>
          <w:bCs/>
          <w:color w:val="auto"/>
          <w:sz w:val="32"/>
          <w:szCs w:val="32"/>
        </w:rPr>
        <w:t>项，涉及资金</w:t>
      </w:r>
      <w:r>
        <w:rPr>
          <w:rFonts w:hint="eastAsia" w:hAnsi="宋体" w:eastAsia="方正仿宋_GBK" w:cs="方正仿宋_GBK"/>
          <w:b w:val="0"/>
          <w:bCs/>
          <w:color w:val="auto"/>
          <w:sz w:val="32"/>
          <w:szCs w:val="32"/>
          <w:lang w:val="en-US" w:eastAsia="zh-CN"/>
        </w:rPr>
        <w:t>173.91</w:t>
      </w:r>
      <w:r>
        <w:rPr>
          <w:rFonts w:hint="eastAsia" w:ascii="宋体" w:hAnsi="宋体" w:eastAsia="方正仿宋_GBK" w:cs="方正仿宋_GBK"/>
          <w:b w:val="0"/>
          <w:bCs/>
          <w:color w:val="auto"/>
          <w:sz w:val="32"/>
          <w:szCs w:val="32"/>
        </w:rPr>
        <w:t>万元</w:t>
      </w:r>
      <w:r>
        <w:rPr>
          <w:rFonts w:hint="eastAsia" w:hAnsi="宋体" w:eastAsia="方正仿宋_GBK" w:cs="方正仿宋_GBK"/>
          <w:b w:val="0"/>
          <w:bCs/>
          <w:color w:val="auto"/>
          <w:sz w:val="32"/>
          <w:szCs w:val="32"/>
          <w:lang w:eastAsia="zh-CN"/>
        </w:rPr>
        <w:t>。</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color w:val="auto"/>
          <w:sz w:val="32"/>
          <w:szCs w:val="32"/>
        </w:rPr>
      </w:pPr>
      <w:r>
        <w:rPr>
          <w:rStyle w:val="10"/>
          <w:rFonts w:hint="eastAsia" w:ascii="宋体" w:hAnsi="宋体" w:eastAsia="方正楷体_GBK" w:cs="方正楷体_GBK"/>
          <w:b w:val="0"/>
          <w:bCs/>
          <w:color w:val="auto"/>
          <w:sz w:val="32"/>
          <w:szCs w:val="32"/>
        </w:rPr>
        <w:t>（二）绩效自评结果</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仿宋_GBK" w:cs="方正仿宋_GBK"/>
          <w:b w:val="0"/>
          <w:bCs/>
          <w:color w:val="auto"/>
          <w:sz w:val="32"/>
          <w:szCs w:val="32"/>
        </w:rPr>
        <w:t>1.绩效目标自评表。</w:t>
      </w:r>
    </w:p>
    <w:p>
      <w:pPr>
        <w:pStyle w:val="11"/>
        <w:tabs>
          <w:tab w:val="center" w:pos="4153"/>
          <w:tab w:val="left" w:pos="7275"/>
        </w:tabs>
        <w:spacing w:line="600" w:lineRule="exact"/>
        <w:ind w:firstLine="0" w:firstLineChars="0"/>
        <w:jc w:val="center"/>
        <w:rPr>
          <w:rFonts w:hint="eastAsia" w:ascii="Times New Roman" w:hAnsi="Times New Roman" w:eastAsia="方正小标宋_GBK" w:cs="宋体"/>
          <w:color w:val="000000"/>
          <w:kern w:val="0"/>
          <w:sz w:val="36"/>
          <w:szCs w:val="36"/>
        </w:rPr>
      </w:pPr>
      <w:r>
        <w:rPr>
          <w:rFonts w:hint="eastAsia" w:ascii="Times New Roman" w:hAnsi="Times New Roman" w:eastAsia="方正小标宋_GBK" w:cs="宋体"/>
          <w:color w:val="000000"/>
          <w:kern w:val="0"/>
          <w:sz w:val="36"/>
          <w:szCs w:val="36"/>
          <w:lang w:val="en-US" w:eastAsia="zh-CN"/>
        </w:rPr>
        <w:t>2022年度部门整体</w:t>
      </w:r>
      <w:r>
        <w:rPr>
          <w:rFonts w:hint="eastAsia" w:ascii="Times New Roman" w:hAnsi="Times New Roman" w:eastAsia="方正小标宋_GBK" w:cs="宋体"/>
          <w:color w:val="000000"/>
          <w:kern w:val="0"/>
          <w:sz w:val="36"/>
          <w:szCs w:val="36"/>
        </w:rPr>
        <w:t>绩效自评表</w:t>
      </w:r>
    </w:p>
    <w:tbl>
      <w:tblPr>
        <w:tblStyle w:val="8"/>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42"/>
        <w:gridCol w:w="704"/>
        <w:gridCol w:w="153"/>
        <w:gridCol w:w="858"/>
        <w:gridCol w:w="1099"/>
        <w:gridCol w:w="1359"/>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3585" w:type="dxa"/>
            <w:gridSpan w:val="6"/>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重庆市江津区科学技术局整体自评</w:t>
            </w:r>
          </w:p>
        </w:tc>
        <w:tc>
          <w:tcPr>
            <w:tcW w:w="1011"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自评</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总分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4689" w:type="dxa"/>
            <w:gridSpan w:val="4"/>
            <w:tcBorders>
              <w:tl2br w:val="nil"/>
              <w:tr2bl w:val="nil"/>
            </w:tcBorders>
            <w:noWrap w:val="0"/>
            <w:vAlign w:val="center"/>
          </w:tcPr>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lang w:val="en-US" w:eastAsia="zh-CN"/>
              </w:rPr>
              <w:t>项目</w:t>
            </w:r>
            <w:r>
              <w:rPr>
                <w:rFonts w:hint="eastAsia" w:ascii="Times New Roman" w:hAnsi="Times New Roman" w:eastAsia="方正仿宋_GBK" w:cs="宋体"/>
                <w:color w:val="000000"/>
                <w:kern w:val="0"/>
                <w:sz w:val="24"/>
                <w:szCs w:val="24"/>
              </w:rPr>
              <w:t>主管</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部门</w:t>
            </w:r>
          </w:p>
        </w:tc>
        <w:tc>
          <w:tcPr>
            <w:tcW w:w="1464"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区科技局</w:t>
            </w:r>
          </w:p>
        </w:tc>
        <w:tc>
          <w:tcPr>
            <w:tcW w:w="1075"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财政归口科室</w:t>
            </w:r>
          </w:p>
        </w:tc>
        <w:tc>
          <w:tcPr>
            <w:tcW w:w="1046"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eastAsia="zh-CN"/>
              </w:rPr>
            </w:pPr>
            <w:r>
              <w:rPr>
                <w:rFonts w:hint="eastAsia" w:eastAsia="方正仿宋_GBK" w:cs="宋体"/>
                <w:color w:val="000000"/>
                <w:kern w:val="0"/>
                <w:sz w:val="24"/>
                <w:szCs w:val="24"/>
                <w:lang w:eastAsia="zh-CN"/>
              </w:rPr>
              <w:t>教科文科</w:t>
            </w:r>
          </w:p>
        </w:tc>
        <w:tc>
          <w:tcPr>
            <w:tcW w:w="101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联系人</w:t>
            </w:r>
          </w:p>
        </w:tc>
        <w:tc>
          <w:tcPr>
            <w:tcW w:w="109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杨福利</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联系电话</w:t>
            </w:r>
          </w:p>
        </w:tc>
        <w:tc>
          <w:tcPr>
            <w:tcW w:w="2231" w:type="dxa"/>
            <w:gridSpan w:val="2"/>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15923075288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项目资金（万元）</w:t>
            </w:r>
          </w:p>
        </w:tc>
        <w:tc>
          <w:tcPr>
            <w:tcW w:w="1464" w:type="dxa"/>
            <w:gridSpan w:val="2"/>
            <w:vMerge w:val="restart"/>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年度总金额</w:t>
            </w:r>
          </w:p>
        </w:tc>
        <w:tc>
          <w:tcPr>
            <w:tcW w:w="1075"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预算数</w:t>
            </w:r>
          </w:p>
        </w:tc>
        <w:tc>
          <w:tcPr>
            <w:tcW w:w="1046" w:type="dxa"/>
            <w:gridSpan w:val="2"/>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全年（调整）预算数</w:t>
            </w:r>
          </w:p>
        </w:tc>
        <w:tc>
          <w:tcPr>
            <w:tcW w:w="2110" w:type="dxa"/>
            <w:gridSpan w:val="3"/>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全年执行数</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99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tc>
        <w:tc>
          <w:tcPr>
            <w:tcW w:w="1238"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执行率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vMerge w:val="continue"/>
            <w:tcBorders>
              <w:tl2br w:val="nil"/>
              <w:tr2bl w:val="nil"/>
            </w:tcBorders>
            <w:noWrap w:val="0"/>
            <w:vAlign w:val="center"/>
          </w:tcPr>
          <w:p>
            <w:pPr>
              <w:spacing w:line="300" w:lineRule="exact"/>
              <w:jc w:val="center"/>
              <w:rPr>
                <w:rFonts w:hint="eastAsia" w:ascii="Times New Roman" w:hAnsi="Times New Roman" w:eastAsia="方正仿宋_GBK" w:cs="宋体"/>
                <w:color w:val="000000"/>
                <w:kern w:val="0"/>
                <w:sz w:val="24"/>
                <w:szCs w:val="24"/>
              </w:rPr>
            </w:pPr>
          </w:p>
        </w:tc>
        <w:tc>
          <w:tcPr>
            <w:tcW w:w="107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1157</w:t>
            </w:r>
            <w:r>
              <w:rPr>
                <w:rFonts w:hint="eastAsia" w:eastAsia="方正仿宋_GBK" w:cs="宋体"/>
                <w:color w:val="000000"/>
                <w:kern w:val="0"/>
                <w:sz w:val="24"/>
                <w:szCs w:val="24"/>
                <w:lang w:val="en-US" w:eastAsia="zh-CN"/>
              </w:rPr>
              <w:t>.</w:t>
            </w:r>
            <w:r>
              <w:rPr>
                <w:rFonts w:hint="eastAsia" w:ascii="Times New Roman" w:hAnsi="Times New Roman" w:eastAsia="方正仿宋_GBK" w:cs="宋体"/>
                <w:color w:val="000000"/>
                <w:kern w:val="0"/>
                <w:sz w:val="24"/>
                <w:szCs w:val="24"/>
              </w:rPr>
              <w:t>89</w:t>
            </w:r>
          </w:p>
        </w:tc>
        <w:tc>
          <w:tcPr>
            <w:tcW w:w="1046"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1288</w:t>
            </w:r>
            <w:r>
              <w:rPr>
                <w:rFonts w:hint="eastAsia" w:eastAsia="方正仿宋_GBK" w:cs="宋体"/>
                <w:color w:val="000000"/>
                <w:kern w:val="0"/>
                <w:sz w:val="24"/>
                <w:szCs w:val="24"/>
                <w:lang w:val="en-US" w:eastAsia="zh-CN"/>
              </w:rPr>
              <w:t>.</w:t>
            </w:r>
            <w:r>
              <w:rPr>
                <w:rFonts w:hint="eastAsia" w:ascii="Times New Roman" w:hAnsi="Times New Roman" w:eastAsia="方正仿宋_GBK" w:cs="宋体"/>
                <w:color w:val="000000"/>
                <w:kern w:val="0"/>
                <w:sz w:val="24"/>
                <w:szCs w:val="24"/>
              </w:rPr>
              <w:t>12</w:t>
            </w:r>
          </w:p>
        </w:tc>
        <w:tc>
          <w:tcPr>
            <w:tcW w:w="2110" w:type="dxa"/>
            <w:gridSpan w:val="3"/>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952</w:t>
            </w:r>
            <w:r>
              <w:rPr>
                <w:rFonts w:hint="eastAsia" w:eastAsia="方正仿宋_GBK" w:cs="宋体"/>
                <w:color w:val="000000"/>
                <w:kern w:val="0"/>
                <w:sz w:val="24"/>
                <w:szCs w:val="24"/>
                <w:lang w:val="en-US" w:eastAsia="zh-CN"/>
              </w:rPr>
              <w:t>.</w:t>
            </w:r>
            <w:r>
              <w:rPr>
                <w:rFonts w:hint="eastAsia" w:ascii="Times New Roman" w:hAnsi="Times New Roman" w:eastAsia="方正仿宋_GBK" w:cs="宋体"/>
                <w:color w:val="000000"/>
                <w:kern w:val="0"/>
                <w:sz w:val="24"/>
                <w:szCs w:val="24"/>
              </w:rPr>
              <w:t>12</w:t>
            </w:r>
          </w:p>
        </w:tc>
        <w:tc>
          <w:tcPr>
            <w:tcW w:w="135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c>
          <w:tcPr>
            <w:tcW w:w="993" w:type="dxa"/>
            <w:tcBorders>
              <w:tl2br w:val="nil"/>
              <w:tr2bl w:val="nil"/>
            </w:tcBorders>
            <w:noWrap w:val="0"/>
            <w:vAlign w:val="center"/>
          </w:tcPr>
          <w:p>
            <w:pPr>
              <w:widowControl/>
              <w:spacing w:line="300" w:lineRule="exact"/>
              <w:jc w:val="center"/>
              <w:rPr>
                <w:rFonts w:hint="eastAsia" w:ascii="Times New Roman" w:hAnsi="Times New Roman" w:eastAsia="方正仿宋_GBK" w:cs="宋体"/>
                <w:kern w:val="0"/>
                <w:sz w:val="24"/>
                <w:szCs w:val="24"/>
              </w:rPr>
            </w:pPr>
          </w:p>
        </w:tc>
        <w:tc>
          <w:tcPr>
            <w:tcW w:w="123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1464" w:type="dxa"/>
            <w:gridSpan w:val="2"/>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其中：</w:t>
            </w:r>
          </w:p>
          <w:p>
            <w:pPr>
              <w:widowControl/>
              <w:spacing w:line="300" w:lineRule="exact"/>
              <w:rPr>
                <w:rFonts w:hint="default"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财政拨款</w:t>
            </w:r>
          </w:p>
        </w:tc>
        <w:tc>
          <w:tcPr>
            <w:tcW w:w="1075"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1157</w:t>
            </w:r>
            <w:r>
              <w:rPr>
                <w:rFonts w:hint="eastAsia" w:eastAsia="方正仿宋_GBK" w:cs="宋体"/>
                <w:color w:val="000000"/>
                <w:kern w:val="0"/>
                <w:sz w:val="24"/>
                <w:szCs w:val="24"/>
                <w:lang w:val="en-US" w:eastAsia="zh-CN"/>
              </w:rPr>
              <w:t>.</w:t>
            </w:r>
            <w:r>
              <w:rPr>
                <w:rFonts w:hint="eastAsia" w:ascii="Times New Roman" w:hAnsi="Times New Roman" w:eastAsia="方正仿宋_GBK" w:cs="宋体"/>
                <w:color w:val="000000"/>
                <w:kern w:val="0"/>
                <w:sz w:val="24"/>
                <w:szCs w:val="24"/>
              </w:rPr>
              <w:t>89</w:t>
            </w:r>
          </w:p>
        </w:tc>
        <w:tc>
          <w:tcPr>
            <w:tcW w:w="1046"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1288</w:t>
            </w:r>
            <w:r>
              <w:rPr>
                <w:rFonts w:hint="eastAsia" w:eastAsia="方正仿宋_GBK" w:cs="宋体"/>
                <w:color w:val="000000"/>
                <w:kern w:val="0"/>
                <w:sz w:val="24"/>
                <w:szCs w:val="24"/>
                <w:lang w:val="en-US" w:eastAsia="zh-CN"/>
              </w:rPr>
              <w:t>.</w:t>
            </w:r>
            <w:r>
              <w:rPr>
                <w:rFonts w:hint="eastAsia" w:ascii="Times New Roman" w:hAnsi="Times New Roman" w:eastAsia="方正仿宋_GBK" w:cs="宋体"/>
                <w:color w:val="000000"/>
                <w:kern w:val="0"/>
                <w:sz w:val="24"/>
                <w:szCs w:val="24"/>
              </w:rPr>
              <w:t>12</w:t>
            </w:r>
          </w:p>
        </w:tc>
        <w:tc>
          <w:tcPr>
            <w:tcW w:w="2110" w:type="dxa"/>
            <w:gridSpan w:val="3"/>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952</w:t>
            </w:r>
            <w:r>
              <w:rPr>
                <w:rFonts w:hint="eastAsia" w:eastAsia="方正仿宋_GBK" w:cs="宋体"/>
                <w:color w:val="000000"/>
                <w:kern w:val="0"/>
                <w:sz w:val="24"/>
                <w:szCs w:val="24"/>
                <w:lang w:val="en-US" w:eastAsia="zh-CN"/>
              </w:rPr>
              <w:t>.</w:t>
            </w:r>
            <w:r>
              <w:rPr>
                <w:rFonts w:hint="eastAsia" w:ascii="Times New Roman" w:hAnsi="Times New Roman" w:eastAsia="方正仿宋_GBK" w:cs="宋体"/>
                <w:color w:val="000000"/>
                <w:kern w:val="0"/>
                <w:sz w:val="24"/>
                <w:szCs w:val="24"/>
              </w:rPr>
              <w:t>12</w:t>
            </w:r>
          </w:p>
        </w:tc>
        <w:tc>
          <w:tcPr>
            <w:tcW w:w="1359"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74</w:t>
            </w:r>
          </w:p>
        </w:tc>
        <w:tc>
          <w:tcPr>
            <w:tcW w:w="993"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10</w:t>
            </w:r>
          </w:p>
        </w:tc>
        <w:tc>
          <w:tcPr>
            <w:tcW w:w="1238" w:type="dxa"/>
            <w:tcBorders>
              <w:tl2br w:val="nil"/>
              <w:tr2bl w:val="nil"/>
            </w:tcBorders>
            <w:noWrap w:val="0"/>
            <w:vAlign w:val="center"/>
          </w:tcPr>
          <w:p>
            <w:pPr>
              <w:widowControl/>
              <w:spacing w:line="300" w:lineRule="exact"/>
              <w:jc w:val="center"/>
              <w:rPr>
                <w:rFonts w:hint="default" w:ascii="Times New Roman" w:hAnsi="Times New Roman" w:eastAsia="方正仿宋_GBK" w:cs="宋体"/>
                <w:color w:val="000000"/>
                <w:kern w:val="0"/>
                <w:sz w:val="24"/>
                <w:szCs w:val="24"/>
                <w:lang w:val="en-US" w:eastAsia="zh-CN"/>
              </w:rPr>
            </w:pPr>
            <w:r>
              <w:rPr>
                <w:rFonts w:hint="eastAsia" w:eastAsia="方正仿宋_GBK" w:cs="宋体"/>
                <w:color w:val="000000"/>
                <w:kern w:val="0"/>
                <w:sz w:val="24"/>
                <w:szCs w:val="24"/>
                <w:lang w:val="en-US" w:eastAsia="zh-CN"/>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当年绩效目标</w:t>
            </w:r>
          </w:p>
        </w:tc>
        <w:tc>
          <w:tcPr>
            <w:tcW w:w="5695"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年初绩效目标</w:t>
            </w:r>
          </w:p>
        </w:tc>
        <w:tc>
          <w:tcPr>
            <w:tcW w:w="3590"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5695" w:type="dxa"/>
            <w:gridSpan w:val="9"/>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完成各类科技服务比例达到90%，公众满意度达到95%，资金拨付进度与时间进度匹配，圆满完成区委、区政府交办的各项考核任务。</w:t>
            </w:r>
          </w:p>
        </w:tc>
        <w:tc>
          <w:tcPr>
            <w:tcW w:w="3590" w:type="dxa"/>
            <w:gridSpan w:val="3"/>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剔除疫情及预算压减等原因，基本完成年初制定目标任务。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绩效指标</w:t>
            </w:r>
          </w:p>
        </w:tc>
        <w:tc>
          <w:tcPr>
            <w:tcW w:w="756"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名称</w:t>
            </w:r>
          </w:p>
        </w:tc>
        <w:tc>
          <w:tcPr>
            <w:tcW w:w="70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计量</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单位</w:t>
            </w:r>
          </w:p>
        </w:tc>
        <w:tc>
          <w:tcPr>
            <w:tcW w:w="709"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性质</w:t>
            </w:r>
          </w:p>
        </w:tc>
        <w:tc>
          <w:tcPr>
            <w:tcW w:w="708" w:type="dxa"/>
            <w:gridSpan w:val="2"/>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值</w:t>
            </w:r>
          </w:p>
        </w:tc>
        <w:tc>
          <w:tcPr>
            <w:tcW w:w="857"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全年</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完成值</w:t>
            </w:r>
          </w:p>
        </w:tc>
        <w:tc>
          <w:tcPr>
            <w:tcW w:w="858" w:type="dxa"/>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lang w:val="en-US" w:eastAsia="zh-CN"/>
              </w:rPr>
            </w:pPr>
            <w:r>
              <w:rPr>
                <w:rFonts w:hint="eastAsia" w:ascii="Times New Roman" w:hAnsi="Times New Roman" w:eastAsia="方正仿宋_GBK" w:cs="宋体"/>
                <w:color w:val="000000"/>
                <w:kern w:val="0"/>
                <w:sz w:val="24"/>
                <w:szCs w:val="24"/>
                <w:lang w:val="en-US" w:eastAsia="zh-CN"/>
              </w:rPr>
              <w:t>偏离度（%）</w:t>
            </w:r>
          </w:p>
        </w:tc>
        <w:tc>
          <w:tcPr>
            <w:tcW w:w="109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系数</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w:t>
            </w:r>
          </w:p>
        </w:tc>
        <w:tc>
          <w:tcPr>
            <w:tcW w:w="1359" w:type="dxa"/>
            <w:tcBorders>
              <w:tl2br w:val="nil"/>
              <w:tr2bl w:val="nil"/>
            </w:tcBorders>
            <w:noWrap w:val="0"/>
            <w:vAlign w:val="center"/>
          </w:tcPr>
          <w:p>
            <w:pPr>
              <w:widowControl/>
              <w:spacing w:line="300" w:lineRule="exact"/>
              <w:jc w:val="center"/>
              <w:rPr>
                <w:rFonts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权重</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c>
          <w:tcPr>
            <w:tcW w:w="2231" w:type="dxa"/>
            <w:gridSpan w:val="2"/>
            <w:tcBorders>
              <w:tl2br w:val="nil"/>
              <w:tr2bl w:val="nil"/>
            </w:tcBorders>
            <w:noWrap w:val="0"/>
            <w:vAlign w:val="center"/>
          </w:tcPr>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指标得分</w:t>
            </w:r>
          </w:p>
          <w:p>
            <w:pPr>
              <w:widowControl/>
              <w:spacing w:line="300" w:lineRule="exact"/>
              <w:jc w:val="center"/>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科技特派员</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人</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30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30</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科技特派员基地</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培育高新技术企业</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62</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培育科技型企业</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200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202</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预决算差异率</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项目预算执行序时进度（11月）</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90</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“三公”经费控制率</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一般性支出控制率</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0</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社会对科技事业的支持率</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95</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95</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科技创新提升能力等各类培训</w:t>
            </w:r>
          </w:p>
        </w:tc>
        <w:tc>
          <w:tcPr>
            <w:tcW w:w="708" w:type="dxa"/>
            <w:tcBorders>
              <w:tl2br w:val="nil"/>
              <w:tr2bl w:val="nil"/>
            </w:tcBorders>
            <w:noWrap w:val="0"/>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人次</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jc w:val="both"/>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1000</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1050</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满意度</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i w:val="0"/>
                <w:iCs w:val="0"/>
                <w:color w:val="000000"/>
                <w:kern w:val="0"/>
                <w:sz w:val="21"/>
                <w:szCs w:val="21"/>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95</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95</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pPr>
              <w:widowControl/>
              <w:spacing w:line="300" w:lineRule="exact"/>
              <w:rPr>
                <w:rFonts w:ascii="Times New Roman" w:hAnsi="Times New Roman" w:eastAsia="方正仿宋_GBK" w:cs="宋体"/>
                <w:color w:val="000000"/>
                <w:kern w:val="0"/>
                <w:sz w:val="24"/>
                <w:szCs w:val="24"/>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绩效管理制度建设</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条</w:t>
            </w:r>
          </w:p>
        </w:tc>
        <w:tc>
          <w:tcPr>
            <w:tcW w:w="709" w:type="dxa"/>
            <w:tcBorders>
              <w:tl2br w:val="nil"/>
              <w:tr2bl w:val="nil"/>
            </w:tcBorders>
            <w:noWrap w:val="0"/>
            <w:vAlign w:val="center"/>
          </w:tcPr>
          <w:p>
            <w:pPr>
              <w:keepNext w:val="0"/>
              <w:keepLines w:val="0"/>
              <w:widowControl/>
              <w:suppressLineNumbers w:val="0"/>
              <w:jc w:val="both"/>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定性</w:t>
            </w:r>
          </w:p>
        </w:tc>
        <w:tc>
          <w:tcPr>
            <w:tcW w:w="708" w:type="dxa"/>
            <w:gridSpan w:val="2"/>
            <w:tcBorders>
              <w:tl2br w:val="nil"/>
              <w:tr2bl w:val="nil"/>
            </w:tcBorders>
            <w:noWrap w:val="0"/>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1"/>
                <w:szCs w:val="21"/>
                <w:u w:val="none"/>
                <w:lang w:val="en-US" w:eastAsia="zh-CN" w:bidi="ar"/>
              </w:rPr>
            </w:pPr>
            <w:r>
              <w:rPr>
                <w:rFonts w:hint="eastAsia" w:ascii="方正仿宋_GBK" w:hAnsi="方正仿宋_GBK" w:eastAsia="方正仿宋_GBK" w:cs="方正仿宋_GBK"/>
                <w:i w:val="0"/>
                <w:iCs w:val="0"/>
                <w:color w:val="000000"/>
                <w:kern w:val="0"/>
                <w:sz w:val="21"/>
                <w:szCs w:val="21"/>
                <w:u w:val="none"/>
                <w:lang w:val="en-US" w:eastAsia="zh-CN" w:bidi="ar"/>
              </w:rPr>
              <w:t>基本建立</w:t>
            </w:r>
          </w:p>
        </w:tc>
        <w:tc>
          <w:tcPr>
            <w:tcW w:w="857"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1</w:t>
            </w:r>
          </w:p>
        </w:tc>
        <w:tc>
          <w:tcPr>
            <w:tcW w:w="858" w:type="dxa"/>
            <w:tcBorders>
              <w:tl2br w:val="nil"/>
              <w:tr2bl w:val="nil"/>
            </w:tcBorders>
            <w:noWrap w:val="0"/>
            <w:vAlign w:val="center"/>
          </w:tcPr>
          <w:p>
            <w:pPr>
              <w:widowControl/>
              <w:spacing w:line="300" w:lineRule="exact"/>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0</w:t>
            </w:r>
          </w:p>
        </w:tc>
        <w:tc>
          <w:tcPr>
            <w:tcW w:w="1099" w:type="dxa"/>
            <w:tcBorders>
              <w:tl2br w:val="nil"/>
              <w:tr2bl w:val="nil"/>
            </w:tcBorders>
            <w:noWrap w:val="0"/>
            <w:vAlign w:val="center"/>
          </w:tcPr>
          <w:p>
            <w:pPr>
              <w:widowControl/>
              <w:spacing w:line="300" w:lineRule="exact"/>
              <w:jc w:val="center"/>
              <w:rPr>
                <w:rFonts w:hint="default" w:ascii="宋体" w:hAnsi="宋体" w:eastAsia="宋体" w:cs="宋体"/>
                <w:color w:val="000000"/>
                <w:kern w:val="0"/>
                <w:sz w:val="21"/>
                <w:szCs w:val="21"/>
                <w:lang w:val="en-US"/>
              </w:rPr>
            </w:pPr>
            <w:r>
              <w:rPr>
                <w:rFonts w:hint="eastAsia" w:ascii="宋体" w:hAnsi="宋体" w:cs="宋体"/>
                <w:color w:val="000000"/>
                <w:kern w:val="0"/>
                <w:sz w:val="21"/>
                <w:szCs w:val="21"/>
                <w:lang w:val="en-US" w:eastAsia="zh-CN"/>
              </w:rPr>
              <w:t>100</w:t>
            </w:r>
          </w:p>
        </w:tc>
        <w:tc>
          <w:tcPr>
            <w:tcW w:w="1359" w:type="dxa"/>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2231" w:type="dxa"/>
            <w:gridSpan w:val="2"/>
            <w:tcBorders>
              <w:tl2br w:val="nil"/>
              <w:tr2bl w:val="nil"/>
            </w:tcBorders>
            <w:noWrap w:val="0"/>
            <w:vAlign w:val="center"/>
          </w:tcPr>
          <w:p>
            <w:pPr>
              <w:keepNext w:val="0"/>
              <w:keepLines w:val="0"/>
              <w:widowControl/>
              <w:suppressLineNumbers w:val="0"/>
              <w:ind w:firstLine="210" w:firstLineChars="100"/>
              <w:jc w:val="center"/>
              <w:textAlignment w:val="center"/>
              <w:rPr>
                <w:rFonts w:hint="eastAsia" w:ascii="宋体" w:hAnsi="宋体" w:eastAsia="宋体" w:cs="宋体"/>
                <w:color w:val="000000"/>
                <w:kern w:val="0"/>
                <w:sz w:val="21"/>
                <w:szCs w:val="21"/>
              </w:rPr>
            </w:pPr>
            <w:r>
              <w:rPr>
                <w:rFonts w:hint="eastAsia" w:ascii="宋体" w:hAnsi="宋体" w:eastAsia="宋体" w:cs="宋体"/>
                <w:i w:val="0"/>
                <w:iCs w:val="0"/>
                <w:color w:val="000000"/>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Times New Roman" w:hAnsi="Times New Roman" w:eastAsia="方正仿宋_GBK" w:cs="宋体"/>
                <w:color w:val="000000"/>
                <w:kern w:val="0"/>
                <w:sz w:val="24"/>
                <w:szCs w:val="24"/>
              </w:rPr>
            </w:pPr>
            <w:r>
              <w:rPr>
                <w:rFonts w:hint="eastAsia" w:ascii="Times New Roman" w:hAnsi="Times New Roman" w:eastAsia="方正仿宋_GBK" w:cs="宋体"/>
                <w:color w:val="000000"/>
                <w:kern w:val="0"/>
                <w:sz w:val="24"/>
                <w:szCs w:val="24"/>
              </w:rPr>
              <w:t>说明</w:t>
            </w:r>
          </w:p>
        </w:tc>
        <w:tc>
          <w:tcPr>
            <w:tcW w:w="9285" w:type="dxa"/>
            <w:gridSpan w:val="12"/>
            <w:tcBorders>
              <w:tl2br w:val="nil"/>
              <w:tr2bl w:val="nil"/>
            </w:tcBorders>
            <w:noWrap w:val="0"/>
            <w:vAlign w:val="center"/>
          </w:tcPr>
          <w:p>
            <w:pPr>
              <w:widowControl/>
              <w:spacing w:line="300" w:lineRule="exact"/>
              <w:rPr>
                <w:rFonts w:hint="eastAsia" w:ascii="方正仿宋_GBK" w:hAnsi="方正仿宋_GBK" w:eastAsia="方正仿宋_GBK" w:cs="方正仿宋_GBK"/>
                <w:color w:val="000000"/>
                <w:kern w:val="0"/>
                <w:sz w:val="24"/>
                <w:szCs w:val="24"/>
              </w:rPr>
            </w:pPr>
          </w:p>
        </w:tc>
      </w:tr>
    </w:tbl>
    <w:p>
      <w:pPr>
        <w:pStyle w:val="11"/>
        <w:tabs>
          <w:tab w:val="center" w:pos="4153"/>
          <w:tab w:val="left" w:pos="7275"/>
        </w:tabs>
        <w:spacing w:line="600" w:lineRule="exact"/>
        <w:ind w:firstLine="0" w:firstLineChars="0"/>
        <w:jc w:val="both"/>
        <w:rPr>
          <w:rFonts w:hint="eastAsia" w:ascii="宋体" w:hAnsi="宋体" w:eastAsia="方正小标宋_GBK" w:cs="宋体"/>
          <w:color w:val="000000"/>
          <w:kern w:val="0"/>
          <w:sz w:val="36"/>
          <w:szCs w:val="36"/>
          <w:shd w:val="clear" w:color="auto" w:fill="auto"/>
          <w:lang w:val="en-US" w:eastAsia="zh-CN"/>
        </w:rPr>
      </w:pPr>
    </w:p>
    <w:p>
      <w:pPr>
        <w:pStyle w:val="11"/>
        <w:tabs>
          <w:tab w:val="center" w:pos="4153"/>
          <w:tab w:val="left" w:pos="7275"/>
        </w:tabs>
        <w:spacing w:line="600" w:lineRule="exact"/>
        <w:ind w:firstLine="0" w:firstLineChars="0"/>
        <w:jc w:val="center"/>
        <w:rPr>
          <w:rFonts w:hint="eastAsia" w:ascii="宋体" w:hAnsi="宋体" w:eastAsia="方正小标宋_GBK" w:cs="宋体"/>
          <w:color w:val="000000"/>
          <w:kern w:val="0"/>
          <w:sz w:val="36"/>
          <w:szCs w:val="36"/>
          <w:shd w:val="clear" w:color="auto" w:fill="auto"/>
          <w:lang w:val="en-US" w:eastAsia="zh-CN"/>
        </w:rPr>
      </w:pPr>
      <w:bookmarkStart w:id="0" w:name="_GoBack"/>
      <w:bookmarkEnd w:id="0"/>
    </w:p>
    <w:p>
      <w:pPr>
        <w:pStyle w:val="11"/>
        <w:tabs>
          <w:tab w:val="center" w:pos="4153"/>
          <w:tab w:val="left" w:pos="7275"/>
        </w:tabs>
        <w:spacing w:line="600" w:lineRule="exact"/>
        <w:ind w:firstLine="0" w:firstLineChars="0"/>
        <w:jc w:val="center"/>
        <w:rPr>
          <w:rFonts w:hint="eastAsia" w:ascii="宋体" w:hAnsi="宋体" w:eastAsia="方正小标宋_GBK" w:cs="宋体"/>
          <w:color w:val="000000"/>
          <w:kern w:val="0"/>
          <w:sz w:val="36"/>
          <w:szCs w:val="36"/>
          <w:shd w:val="clear" w:color="auto" w:fill="auto"/>
          <w:lang w:val="en-US" w:eastAsia="zh-CN"/>
        </w:rPr>
      </w:pPr>
    </w:p>
    <w:p>
      <w:pPr>
        <w:pStyle w:val="11"/>
        <w:tabs>
          <w:tab w:val="center" w:pos="4153"/>
          <w:tab w:val="left" w:pos="7275"/>
        </w:tabs>
        <w:spacing w:line="600" w:lineRule="exact"/>
        <w:ind w:firstLine="0" w:firstLineChars="0"/>
        <w:jc w:val="center"/>
        <w:rPr>
          <w:rFonts w:hint="eastAsia" w:ascii="宋体" w:hAnsi="宋体" w:eastAsia="方正小标宋_GBK" w:cs="宋体"/>
          <w:color w:val="000000"/>
          <w:kern w:val="0"/>
          <w:sz w:val="36"/>
          <w:szCs w:val="36"/>
          <w:shd w:val="clear" w:color="auto" w:fill="auto"/>
        </w:rPr>
      </w:pPr>
      <w:r>
        <w:rPr>
          <w:rFonts w:hint="eastAsia" w:ascii="宋体" w:hAnsi="宋体" w:eastAsia="方正小标宋_GBK" w:cs="宋体"/>
          <w:color w:val="000000"/>
          <w:kern w:val="0"/>
          <w:sz w:val="36"/>
          <w:szCs w:val="36"/>
          <w:shd w:val="clear" w:color="auto" w:fill="auto"/>
          <w:lang w:val="en-US" w:eastAsia="zh-CN"/>
        </w:rPr>
        <w:t>2022年度项目</w:t>
      </w:r>
      <w:r>
        <w:rPr>
          <w:rFonts w:hint="eastAsia" w:ascii="宋体" w:hAnsi="宋体" w:eastAsia="方正小标宋_GBK" w:cs="宋体"/>
          <w:color w:val="000000"/>
          <w:kern w:val="0"/>
          <w:sz w:val="36"/>
          <w:szCs w:val="36"/>
          <w:shd w:val="clear" w:color="auto" w:fill="auto"/>
        </w:rPr>
        <w:t>绩效自评表</w:t>
      </w:r>
    </w:p>
    <w:tbl>
      <w:tblPr>
        <w:tblStyle w:val="8"/>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42"/>
        <w:gridCol w:w="704"/>
        <w:gridCol w:w="153"/>
        <w:gridCol w:w="858"/>
        <w:gridCol w:w="1099"/>
        <w:gridCol w:w="1359"/>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名称</w:t>
            </w:r>
          </w:p>
        </w:tc>
        <w:tc>
          <w:tcPr>
            <w:tcW w:w="3585" w:type="dxa"/>
            <w:gridSpan w:val="6"/>
            <w:tcBorders>
              <w:tl2br w:val="nil"/>
              <w:tr2bl w:val="nil"/>
            </w:tcBorders>
            <w:noWrap w:val="0"/>
            <w:vAlign w:val="center"/>
          </w:tcPr>
          <w:p>
            <w:pPr>
              <w:widowControl/>
              <w:spacing w:line="300" w:lineRule="exact"/>
              <w:jc w:val="both"/>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lang w:eastAsia="zh-CN"/>
              </w:rPr>
              <w:t>产学研政合作项目</w:t>
            </w:r>
          </w:p>
        </w:tc>
        <w:tc>
          <w:tcPr>
            <w:tcW w:w="1011"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自评</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总分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c>
          <w:tcPr>
            <w:tcW w:w="4689" w:type="dxa"/>
            <w:gridSpan w:val="4"/>
            <w:tcBorders>
              <w:tl2br w:val="nil"/>
              <w:tr2bl w:val="nil"/>
            </w:tcBorders>
            <w:noWrap w:val="0"/>
            <w:vAlign w:val="center"/>
          </w:tcPr>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lang w:val="en-US" w:eastAsia="zh-CN"/>
              </w:rPr>
              <w:t>项目</w:t>
            </w:r>
            <w:r>
              <w:rPr>
                <w:rFonts w:hint="eastAsia" w:ascii="宋体" w:hAnsi="宋体" w:eastAsia="方正仿宋_GBK" w:cs="宋体"/>
                <w:color w:val="000000"/>
                <w:kern w:val="0"/>
                <w:sz w:val="24"/>
                <w:szCs w:val="24"/>
                <w:shd w:val="clear" w:color="auto" w:fill="auto"/>
              </w:rPr>
              <w:t>主管</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部门</w:t>
            </w:r>
          </w:p>
        </w:tc>
        <w:tc>
          <w:tcPr>
            <w:tcW w:w="1464"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区科技局</w:t>
            </w:r>
          </w:p>
        </w:tc>
        <w:tc>
          <w:tcPr>
            <w:tcW w:w="1075"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财政归口科室</w:t>
            </w:r>
          </w:p>
        </w:tc>
        <w:tc>
          <w:tcPr>
            <w:tcW w:w="104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教科文科</w:t>
            </w:r>
          </w:p>
        </w:tc>
        <w:tc>
          <w:tcPr>
            <w:tcW w:w="1011"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联系人</w:t>
            </w:r>
          </w:p>
        </w:tc>
        <w:tc>
          <w:tcPr>
            <w:tcW w:w="109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陈禺</w:t>
            </w:r>
          </w:p>
        </w:tc>
        <w:tc>
          <w:tcPr>
            <w:tcW w:w="135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联系电话</w:t>
            </w:r>
          </w:p>
        </w:tc>
        <w:tc>
          <w:tcPr>
            <w:tcW w:w="2231" w:type="dxa"/>
            <w:gridSpan w:val="2"/>
            <w:tcBorders>
              <w:tl2br w:val="nil"/>
              <w:tr2bl w:val="nil"/>
            </w:tcBorders>
            <w:noWrap w:val="0"/>
            <w:vAlign w:val="center"/>
          </w:tcPr>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13628379365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项目资金（万元）</w:t>
            </w:r>
          </w:p>
        </w:tc>
        <w:tc>
          <w:tcPr>
            <w:tcW w:w="1464" w:type="dxa"/>
            <w:gridSpan w:val="2"/>
            <w:vMerge w:val="restart"/>
            <w:tcBorders>
              <w:tl2br w:val="nil"/>
              <w:tr2bl w:val="nil"/>
            </w:tcBorders>
            <w:noWrap w:val="0"/>
            <w:vAlign w:val="center"/>
          </w:tcPr>
          <w:p>
            <w:pPr>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年度总金额</w:t>
            </w:r>
          </w:p>
        </w:tc>
        <w:tc>
          <w:tcPr>
            <w:tcW w:w="1075"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年初</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预算数</w:t>
            </w:r>
          </w:p>
        </w:tc>
        <w:tc>
          <w:tcPr>
            <w:tcW w:w="1046"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全年（调整）预算数</w:t>
            </w:r>
          </w:p>
        </w:tc>
        <w:tc>
          <w:tcPr>
            <w:tcW w:w="2110" w:type="dxa"/>
            <w:gridSpan w:val="3"/>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全年执行数</w:t>
            </w:r>
          </w:p>
        </w:tc>
        <w:tc>
          <w:tcPr>
            <w:tcW w:w="135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w:t>
            </w:r>
          </w:p>
        </w:tc>
        <w:tc>
          <w:tcPr>
            <w:tcW w:w="993"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权重</w:t>
            </w:r>
          </w:p>
        </w:tc>
        <w:tc>
          <w:tcPr>
            <w:tcW w:w="1238"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464" w:type="dxa"/>
            <w:gridSpan w:val="2"/>
            <w:vMerge w:val="continue"/>
            <w:tcBorders>
              <w:tl2br w:val="nil"/>
              <w:tr2bl w:val="nil"/>
            </w:tcBorders>
            <w:noWrap w:val="0"/>
            <w:vAlign w:val="center"/>
          </w:tcPr>
          <w:p>
            <w:pPr>
              <w:spacing w:line="300" w:lineRule="exact"/>
              <w:jc w:val="center"/>
              <w:rPr>
                <w:rFonts w:hint="eastAsia" w:ascii="宋体" w:hAnsi="宋体" w:eastAsia="方正仿宋_GBK" w:cs="宋体"/>
                <w:color w:val="000000"/>
                <w:kern w:val="0"/>
                <w:sz w:val="24"/>
                <w:szCs w:val="24"/>
                <w:shd w:val="clear" w:color="auto" w:fill="auto"/>
              </w:rPr>
            </w:pPr>
          </w:p>
        </w:tc>
        <w:tc>
          <w:tcPr>
            <w:tcW w:w="1075"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c>
          <w:tcPr>
            <w:tcW w:w="1046"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c>
          <w:tcPr>
            <w:tcW w:w="2110" w:type="dxa"/>
            <w:gridSpan w:val="3"/>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c>
          <w:tcPr>
            <w:tcW w:w="1359" w:type="dxa"/>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bidi="ar-SA"/>
              </w:rPr>
            </w:pPr>
          </w:p>
        </w:tc>
        <w:tc>
          <w:tcPr>
            <w:tcW w:w="993" w:type="dxa"/>
            <w:tcBorders>
              <w:tl2br w:val="nil"/>
              <w:tr2bl w:val="nil"/>
            </w:tcBorders>
            <w:noWrap w:val="0"/>
            <w:vAlign w:val="center"/>
          </w:tcPr>
          <w:p>
            <w:pPr>
              <w:widowControl/>
              <w:spacing w:line="300" w:lineRule="exact"/>
              <w:jc w:val="center"/>
              <w:rPr>
                <w:rFonts w:hint="default" w:ascii="宋体" w:hAnsi="宋体" w:eastAsia="方正仿宋_GBK" w:cs="宋体"/>
                <w:kern w:val="0"/>
                <w:sz w:val="24"/>
                <w:szCs w:val="24"/>
                <w:shd w:val="clear" w:color="auto" w:fill="auto"/>
                <w:lang w:val="en-US" w:eastAsia="zh-CN" w:bidi="ar-SA"/>
              </w:rPr>
            </w:pPr>
          </w:p>
        </w:tc>
        <w:tc>
          <w:tcPr>
            <w:tcW w:w="1238" w:type="dxa"/>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464" w:type="dxa"/>
            <w:gridSpan w:val="2"/>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其中：</w:t>
            </w:r>
          </w:p>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财政拨款</w:t>
            </w:r>
          </w:p>
        </w:tc>
        <w:tc>
          <w:tcPr>
            <w:tcW w:w="1075"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c>
          <w:tcPr>
            <w:tcW w:w="104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c>
          <w:tcPr>
            <w:tcW w:w="2110" w:type="dxa"/>
            <w:gridSpan w:val="3"/>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c>
          <w:tcPr>
            <w:tcW w:w="135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100</w:t>
            </w:r>
          </w:p>
        </w:tc>
        <w:tc>
          <w:tcPr>
            <w:tcW w:w="993" w:type="dxa"/>
            <w:tcBorders>
              <w:tl2br w:val="nil"/>
              <w:tr2bl w:val="nil"/>
            </w:tcBorders>
            <w:noWrap w:val="0"/>
            <w:vAlign w:val="center"/>
          </w:tcPr>
          <w:p>
            <w:pPr>
              <w:widowControl/>
              <w:spacing w:line="300" w:lineRule="exact"/>
              <w:jc w:val="center"/>
              <w:rPr>
                <w:rFonts w:hint="eastAsia" w:ascii="宋体" w:hAnsi="宋体" w:eastAsia="方正仿宋_GBK" w:cs="宋体"/>
                <w:kern w:val="0"/>
                <w:sz w:val="24"/>
                <w:szCs w:val="24"/>
                <w:shd w:val="clear" w:color="auto" w:fill="auto"/>
                <w:lang w:val="en-US" w:eastAsia="zh-CN" w:bidi="ar-SA"/>
              </w:rPr>
            </w:pPr>
            <w:r>
              <w:rPr>
                <w:rFonts w:hint="eastAsia" w:ascii="宋体" w:hAnsi="宋体" w:eastAsia="方正仿宋_GBK" w:cs="宋体"/>
                <w:kern w:val="0"/>
                <w:sz w:val="24"/>
                <w:szCs w:val="24"/>
                <w:shd w:val="clear" w:color="auto" w:fill="auto"/>
                <w:lang w:val="en-US" w:eastAsia="zh-CN"/>
              </w:rPr>
              <w:t>10</w:t>
            </w:r>
          </w:p>
        </w:tc>
        <w:tc>
          <w:tcPr>
            <w:tcW w:w="1238"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当年绩效目标</w:t>
            </w:r>
          </w:p>
        </w:tc>
        <w:tc>
          <w:tcPr>
            <w:tcW w:w="5695" w:type="dxa"/>
            <w:gridSpan w:val="9"/>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年初绩效目标</w:t>
            </w:r>
          </w:p>
        </w:tc>
        <w:tc>
          <w:tcPr>
            <w:tcW w:w="3590" w:type="dxa"/>
            <w:gridSpan w:val="3"/>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5695" w:type="dxa"/>
            <w:gridSpan w:val="9"/>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推动落实创新驱动发展战略，推进成渝经济圈建设和政、产、学、研、用融合。如：发挥地方、院校、企业的桥梁和纽带作用，促进高校与地方科技资源开放共享、优势互补，实现地方高等教育与区域经济融合发展，引导高等学校、科研机构与企业相互开放实验室和科研设施，支持、鼓励企业为高等学校和科研机构建立实习培训基地。</w:t>
            </w:r>
          </w:p>
        </w:tc>
        <w:tc>
          <w:tcPr>
            <w:tcW w:w="3590" w:type="dxa"/>
            <w:gridSpan w:val="3"/>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完成年初目标任务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绩效指标</w:t>
            </w:r>
          </w:p>
        </w:tc>
        <w:tc>
          <w:tcPr>
            <w:tcW w:w="756"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名称</w:t>
            </w:r>
          </w:p>
        </w:tc>
        <w:tc>
          <w:tcPr>
            <w:tcW w:w="708"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计量</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单位</w:t>
            </w:r>
          </w:p>
        </w:tc>
        <w:tc>
          <w:tcPr>
            <w:tcW w:w="70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性质</w:t>
            </w:r>
          </w:p>
        </w:tc>
        <w:tc>
          <w:tcPr>
            <w:tcW w:w="708"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值</w:t>
            </w:r>
          </w:p>
        </w:tc>
        <w:tc>
          <w:tcPr>
            <w:tcW w:w="857"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完成值</w:t>
            </w:r>
          </w:p>
        </w:tc>
        <w:tc>
          <w:tcPr>
            <w:tcW w:w="858"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偏离度（%）</w:t>
            </w:r>
          </w:p>
        </w:tc>
        <w:tc>
          <w:tcPr>
            <w:tcW w:w="1099"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系数</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w:t>
            </w:r>
          </w:p>
        </w:tc>
        <w:tc>
          <w:tcPr>
            <w:tcW w:w="1359"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权重</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c>
          <w:tcPr>
            <w:tcW w:w="2231"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成渝经济圈</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企业对接</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50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52</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校企对接</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30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31</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研讨活动</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场</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4</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4</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促进交流合作</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lang w:eastAsia="zh-CN"/>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90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90</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示范带动</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90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90</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群众参与度</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社会认知度</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bidi="ar-SA"/>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shd w:val="clear" w:color="auto" w:fill="auto"/>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企业满意度</w:t>
            </w:r>
          </w:p>
        </w:tc>
        <w:tc>
          <w:tcPr>
            <w:tcW w:w="70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i w:val="0"/>
                <w:iCs w:val="0"/>
                <w:color w:val="000000"/>
                <w:kern w:val="0"/>
                <w:sz w:val="24"/>
                <w:szCs w:val="24"/>
                <w:u w:val="none"/>
                <w:shd w:val="clear" w:color="auto" w:fill="auto"/>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57"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90</w:t>
            </w:r>
          </w:p>
        </w:tc>
        <w:tc>
          <w:tcPr>
            <w:tcW w:w="858"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rPr>
            </w:pPr>
            <w:r>
              <w:rPr>
                <w:rFonts w:hint="eastAsia" w:ascii="宋体" w:hAnsi="宋体" w:eastAsia="宋体" w:cs="宋体"/>
                <w:i w:val="0"/>
                <w:iCs w:val="0"/>
                <w:color w:val="000000"/>
                <w:kern w:val="0"/>
                <w:sz w:val="24"/>
                <w:szCs w:val="24"/>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4"/>
                <w:szCs w:val="24"/>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40" w:firstLineChars="10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说明</w:t>
            </w:r>
          </w:p>
        </w:tc>
        <w:tc>
          <w:tcPr>
            <w:tcW w:w="9285" w:type="dxa"/>
            <w:gridSpan w:val="12"/>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p>
        </w:tc>
      </w:tr>
    </w:tbl>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nish w:val="0"/>
          <w:sz w:val="32"/>
          <w:szCs w:val="32"/>
          <w:shd w:val="clear" w:color="auto" w:fill="auto"/>
        </w:rPr>
      </w:pPr>
      <w:r>
        <w:rPr>
          <w:rStyle w:val="10"/>
          <w:rFonts w:hint="eastAsia" w:ascii="宋体" w:hAnsi="宋体" w:eastAsia="方正仿宋_GBK" w:cs="方正仿宋_GBK"/>
          <w:b w:val="0"/>
          <w:bCs/>
          <w:vanish w:val="0"/>
          <w:sz w:val="32"/>
          <w:szCs w:val="32"/>
          <w:shd w:val="clear" w:color="auto" w:fill="auto"/>
          <w:lang w:val="en-US" w:eastAsia="zh-CN"/>
        </w:rPr>
        <w:t>2.</w:t>
      </w:r>
      <w:r>
        <w:rPr>
          <w:rStyle w:val="10"/>
          <w:rFonts w:hint="eastAsia" w:ascii="宋体" w:hAnsi="宋体" w:eastAsia="方正仿宋_GBK" w:cs="方正仿宋_GBK"/>
          <w:b w:val="0"/>
          <w:bCs/>
          <w:vanish w:val="0"/>
          <w:sz w:val="32"/>
          <w:szCs w:val="32"/>
          <w:shd w:val="clear" w:color="auto" w:fill="auto"/>
        </w:rPr>
        <w:t>绩效自评报告或案例</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Fonts w:hint="eastAsia" w:ascii="宋体" w:hAnsi="宋体" w:eastAsia="方正仿宋_GBK" w:cs="方正仿宋_GBK"/>
          <w:i w:val="0"/>
          <w:iCs w:val="0"/>
          <w:caps w:val="0"/>
          <w:spacing w:val="0"/>
          <w:sz w:val="32"/>
          <w:szCs w:val="32"/>
          <w:shd w:val="clear" w:color="auto" w:fill="auto"/>
        </w:rPr>
        <w:t>本年度我局未委托第三方开展绩效自评</w:t>
      </w:r>
      <w:r>
        <w:rPr>
          <w:rFonts w:hint="eastAsia" w:ascii="宋体" w:hAnsi="宋体" w:eastAsia="方正仿宋_GBK" w:cs="方正仿宋_GBK"/>
          <w:i w:val="0"/>
          <w:iCs w:val="0"/>
          <w:caps w:val="0"/>
          <w:spacing w:val="0"/>
          <w:sz w:val="32"/>
          <w:szCs w:val="32"/>
          <w:shd w:val="clear" w:color="auto" w:fill="auto"/>
          <w:lang w:eastAsia="zh-CN"/>
        </w:rPr>
        <w:t>。</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nish w:val="0"/>
          <w:sz w:val="32"/>
          <w:szCs w:val="32"/>
          <w:shd w:val="clear" w:color="auto" w:fill="auto"/>
        </w:rPr>
      </w:pPr>
      <w:r>
        <w:rPr>
          <w:rStyle w:val="10"/>
          <w:rFonts w:hint="eastAsia" w:ascii="宋体" w:hAnsi="宋体" w:eastAsia="方正仿宋_GBK" w:cs="方正仿宋_GBK"/>
          <w:b w:val="0"/>
          <w:bCs/>
          <w:vanish w:val="0"/>
          <w:sz w:val="32"/>
          <w:szCs w:val="32"/>
          <w:shd w:val="clear" w:color="auto" w:fill="auto"/>
          <w:lang w:val="en-US" w:eastAsia="zh-CN"/>
        </w:rPr>
        <w:t>3.</w:t>
      </w:r>
      <w:r>
        <w:rPr>
          <w:rStyle w:val="10"/>
          <w:rFonts w:hint="eastAsia" w:ascii="宋体" w:hAnsi="宋体" w:eastAsia="方正仿宋_GBK" w:cs="方正仿宋_GBK"/>
          <w:b w:val="0"/>
          <w:bCs/>
          <w:vanish w:val="0"/>
          <w:sz w:val="32"/>
          <w:szCs w:val="32"/>
          <w:shd w:val="clear" w:color="auto" w:fill="auto"/>
        </w:rPr>
        <w:t>关于绩效自评结果的说明</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vanish w:val="0"/>
          <w:shd w:val="clear" w:color="auto" w:fill="auto"/>
        </w:rPr>
      </w:pPr>
      <w:r>
        <w:rPr>
          <w:rFonts w:hint="eastAsia" w:ascii="宋体" w:hAnsi="宋体" w:eastAsia="方正仿宋_GBK" w:cs="方正仿宋_GBK"/>
          <w:i w:val="0"/>
          <w:iCs w:val="0"/>
          <w:caps w:val="0"/>
          <w:spacing w:val="0"/>
          <w:sz w:val="32"/>
          <w:szCs w:val="32"/>
          <w:shd w:val="clear" w:color="auto" w:fill="auto"/>
        </w:rPr>
        <w:t>从评价情况来看，总体目标完成较好，立项依据充分，资金管理到位，产生的社会效益、经济效益、社会可持续影响好。</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ascii="宋体" w:hAnsi="宋体"/>
          <w:vanish w:val="0"/>
          <w:shd w:val="clear" w:color="auto" w:fill="auto"/>
        </w:rPr>
      </w:pPr>
      <w:r>
        <w:rPr>
          <w:rStyle w:val="10"/>
          <w:rFonts w:hint="eastAsia" w:ascii="宋体" w:hAnsi="宋体" w:eastAsia="方正楷体_GBK" w:cs="方正楷体_GBK"/>
          <w:b w:val="0"/>
          <w:bCs/>
          <w:vanish w:val="0"/>
          <w:sz w:val="32"/>
          <w:szCs w:val="32"/>
          <w:shd w:val="clear" w:color="auto" w:fill="auto"/>
        </w:rPr>
        <w:t>（三）重点绩效评价结果</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20" w:firstLineChars="200"/>
        <w:jc w:val="left"/>
        <w:textAlignment w:val="auto"/>
        <w:rPr>
          <w:rFonts w:ascii="宋体" w:hAnsi="宋体" w:eastAsia="方正仿宋_GBK" w:cs="方正仿宋_GBK"/>
          <w:i w:val="0"/>
          <w:iCs w:val="0"/>
          <w:caps w:val="0"/>
          <w:spacing w:val="0"/>
          <w:sz w:val="31"/>
          <w:szCs w:val="31"/>
          <w:shd w:val="clear" w:color="auto" w:fill="auto"/>
        </w:rPr>
      </w:pPr>
      <w:r>
        <w:rPr>
          <w:rFonts w:ascii="宋体" w:hAnsi="宋体" w:eastAsia="方正仿宋_GBK" w:cs="方正仿宋_GBK"/>
          <w:i w:val="0"/>
          <w:iCs w:val="0"/>
          <w:caps w:val="0"/>
          <w:spacing w:val="0"/>
          <w:sz w:val="31"/>
          <w:szCs w:val="31"/>
          <w:shd w:val="clear" w:color="auto" w:fill="auto"/>
        </w:rPr>
        <w:t>本年度</w:t>
      </w:r>
      <w:r>
        <w:rPr>
          <w:rFonts w:hint="eastAsia" w:ascii="宋体" w:hAnsi="宋体" w:eastAsia="方正仿宋_GBK" w:cs="方正仿宋_GBK"/>
          <w:i w:val="0"/>
          <w:iCs w:val="0"/>
          <w:caps w:val="0"/>
          <w:spacing w:val="0"/>
          <w:sz w:val="31"/>
          <w:szCs w:val="31"/>
          <w:shd w:val="clear" w:color="auto" w:fill="auto"/>
          <w:lang w:eastAsia="zh-CN"/>
        </w:rPr>
        <w:t>本部门</w:t>
      </w:r>
      <w:r>
        <w:rPr>
          <w:rFonts w:ascii="宋体" w:hAnsi="宋体" w:eastAsia="方正仿宋_GBK" w:cs="方正仿宋_GBK"/>
          <w:i w:val="0"/>
          <w:iCs w:val="0"/>
          <w:caps w:val="0"/>
          <w:spacing w:val="0"/>
          <w:sz w:val="31"/>
          <w:szCs w:val="31"/>
          <w:shd w:val="clear" w:color="auto" w:fill="auto"/>
        </w:rPr>
        <w:t>无重点绩效评价项目。</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黑体_GBK" w:cs="方正黑体_GBK"/>
          <w:b w:val="0"/>
          <w:bCs/>
          <w:sz w:val="32"/>
          <w:szCs w:val="32"/>
        </w:rPr>
      </w:pPr>
      <w:r>
        <w:rPr>
          <w:rStyle w:val="10"/>
          <w:rFonts w:hint="eastAsia" w:ascii="宋体" w:hAnsi="宋体" w:eastAsia="方正黑体_GBK" w:cs="方正黑体_GBK"/>
          <w:b w:val="0"/>
          <w:bCs/>
          <w:sz w:val="32"/>
          <w:szCs w:val="32"/>
        </w:rPr>
        <w:t>六、专业名词解释</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（一）财政拨款收入</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指本年度从本级财政部门取得的财政拨款，包括一般公共预算财政拨款和政府性基金预算财政拨款。</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二</w:t>
      </w:r>
      <w:r>
        <w:rPr>
          <w:rStyle w:val="10"/>
          <w:rFonts w:hint="eastAsia" w:ascii="宋体" w:hAnsi="宋体" w:eastAsia="方正楷体_GBK" w:cs="方正楷体_GBK"/>
          <w:b w:val="0"/>
          <w:bCs/>
          <w:sz w:val="32"/>
          <w:szCs w:val="32"/>
        </w:rPr>
        <w:t>）其他收入</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三</w:t>
      </w:r>
      <w:r>
        <w:rPr>
          <w:rStyle w:val="10"/>
          <w:rFonts w:hint="eastAsia" w:ascii="宋体" w:hAnsi="宋体" w:eastAsia="方正楷体_GBK" w:cs="方正楷体_GBK"/>
          <w:b w:val="0"/>
          <w:bCs/>
          <w:sz w:val="32"/>
          <w:szCs w:val="32"/>
        </w:rPr>
        <w:t>）年初结转和结余</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指单位上年结转本年使用的基本支出结转、项目支出结转和结余、经营结余。</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四</w:t>
      </w:r>
      <w:r>
        <w:rPr>
          <w:rStyle w:val="10"/>
          <w:rFonts w:hint="eastAsia" w:ascii="宋体" w:hAnsi="宋体" w:eastAsia="方正楷体_GBK" w:cs="方正楷体_GBK"/>
          <w:b w:val="0"/>
          <w:bCs/>
          <w:sz w:val="32"/>
          <w:szCs w:val="32"/>
        </w:rPr>
        <w:t>）年末结转和结余</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指单位结转下年的基本支出结转、项目支出结转和结余、经营结余。</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五</w:t>
      </w:r>
      <w:r>
        <w:rPr>
          <w:rStyle w:val="10"/>
          <w:rFonts w:hint="eastAsia" w:ascii="宋体" w:hAnsi="宋体" w:eastAsia="方正楷体_GBK" w:cs="方正楷体_GBK"/>
          <w:b w:val="0"/>
          <w:bCs/>
          <w:sz w:val="32"/>
          <w:szCs w:val="32"/>
        </w:rPr>
        <w:t>）基本支出</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六</w:t>
      </w:r>
      <w:r>
        <w:rPr>
          <w:rStyle w:val="10"/>
          <w:rFonts w:hint="eastAsia" w:ascii="宋体" w:hAnsi="宋体" w:eastAsia="方正楷体_GBK" w:cs="方正楷体_GBK"/>
          <w:b w:val="0"/>
          <w:bCs/>
          <w:sz w:val="32"/>
          <w:szCs w:val="32"/>
        </w:rPr>
        <w:t>）项目支出</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指在基本支出之外为完成特定行政任务和事业发展目标所发生的支出。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七</w:t>
      </w:r>
      <w:r>
        <w:rPr>
          <w:rStyle w:val="10"/>
          <w:rFonts w:hint="eastAsia" w:ascii="宋体" w:hAnsi="宋体" w:eastAsia="方正楷体_GBK" w:cs="方正楷体_GBK"/>
          <w:b w:val="0"/>
          <w:bCs/>
          <w:sz w:val="32"/>
          <w:szCs w:val="32"/>
        </w:rPr>
        <w:t>）“三公”经费</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八</w:t>
      </w:r>
      <w:r>
        <w:rPr>
          <w:rStyle w:val="10"/>
          <w:rFonts w:hint="eastAsia" w:ascii="宋体" w:hAnsi="宋体" w:eastAsia="方正楷体_GBK" w:cs="方正楷体_GBK"/>
          <w:b w:val="0"/>
          <w:bCs/>
          <w:sz w:val="32"/>
          <w:szCs w:val="32"/>
        </w:rPr>
        <w:t>）机关运行经费</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w:t>
      </w:r>
      <w:r>
        <w:rPr>
          <w:rStyle w:val="10"/>
          <w:rFonts w:hint="eastAsia" w:hAnsi="宋体" w:eastAsia="方正楷体_GBK" w:cs="方正楷体_GBK"/>
          <w:b w:val="0"/>
          <w:bCs/>
          <w:sz w:val="32"/>
          <w:szCs w:val="32"/>
          <w:lang w:eastAsia="zh-CN"/>
        </w:rPr>
        <w:t>九</w:t>
      </w:r>
      <w:r>
        <w:rPr>
          <w:rStyle w:val="10"/>
          <w:rFonts w:hint="eastAsia" w:ascii="宋体" w:hAnsi="宋体" w:eastAsia="方正楷体_GBK" w:cs="方正楷体_GBK"/>
          <w:b w:val="0"/>
          <w:bCs/>
          <w:sz w:val="32"/>
          <w:szCs w:val="32"/>
        </w:rPr>
        <w:t>）工资福利支出（支出经济分类科目类级）</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反映单位开支的在职职工和编制外长期聘用人员的各类劳动报酬，以及为上述人员缴纳的各项社会保险费等。</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（十）商品和服务支出（支出经济分类科目类级）</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反映单位购买商品和服务的支出（不包括用于购置固定资产的支出、战略性和应急储备支出）。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Style w:val="10"/>
          <w:rFonts w:hint="eastAsia" w:ascii="宋体" w:hAnsi="宋体" w:eastAsia="方正楷体_GBK" w:cs="方正楷体_GBK"/>
          <w:b w:val="0"/>
          <w:bCs/>
          <w:sz w:val="32"/>
          <w:szCs w:val="32"/>
        </w:rPr>
        <w:t>（十</w:t>
      </w:r>
      <w:r>
        <w:rPr>
          <w:rStyle w:val="10"/>
          <w:rFonts w:hint="eastAsia" w:hAnsi="宋体" w:eastAsia="方正楷体_GBK" w:cs="方正楷体_GBK"/>
          <w:b w:val="0"/>
          <w:bCs/>
          <w:sz w:val="32"/>
          <w:szCs w:val="32"/>
          <w:lang w:eastAsia="zh-CN"/>
        </w:rPr>
        <w:t>一</w:t>
      </w:r>
      <w:r>
        <w:rPr>
          <w:rStyle w:val="10"/>
          <w:rFonts w:hint="eastAsia" w:ascii="宋体" w:hAnsi="宋体" w:eastAsia="方正楷体_GBK" w:cs="方正楷体_GBK"/>
          <w:b w:val="0"/>
          <w:bCs/>
          <w:sz w:val="32"/>
          <w:szCs w:val="32"/>
        </w:rPr>
        <w:t>）对个人和家庭的补助（支出经济分类科目类级）</w:t>
      </w:r>
      <w:r>
        <w:rPr>
          <w:rFonts w:hint="eastAsia" w:ascii="宋体" w:hAnsi="宋体" w:eastAsia="方正楷体_GBK" w:cs="方正楷体_GBK"/>
          <w:b w:val="0"/>
          <w:bCs/>
          <w:sz w:val="32"/>
          <w:szCs w:val="32"/>
        </w:rPr>
        <w:t>：</w:t>
      </w:r>
      <w:r>
        <w:rPr>
          <w:rFonts w:hint="eastAsia" w:ascii="宋体" w:hAnsi="宋体" w:eastAsia="方正仿宋_GBK" w:cs="方正仿宋_GBK"/>
          <w:b w:val="0"/>
          <w:bCs/>
          <w:sz w:val="32"/>
          <w:szCs w:val="32"/>
        </w:rPr>
        <w:t>反映用于对个人和家庭的补助支出。</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黑体_GBK" w:cs="方正黑体_GBK"/>
          <w:b w:val="0"/>
          <w:bCs/>
          <w:sz w:val="32"/>
          <w:szCs w:val="32"/>
        </w:rPr>
      </w:pPr>
      <w:r>
        <w:rPr>
          <w:rStyle w:val="10"/>
          <w:rFonts w:hint="eastAsia" w:ascii="宋体" w:hAnsi="宋体" w:eastAsia="方正黑体_GBK" w:cs="方正黑体_GBK"/>
          <w:b w:val="0"/>
          <w:bCs/>
          <w:sz w:val="32"/>
          <w:szCs w:val="32"/>
        </w:rPr>
        <w:t>七、决算公开联系方式及信息反馈渠道</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本单位决算公开信息反馈和联系方式：</w:t>
      </w:r>
    </w:p>
    <w:p>
      <w:pPr>
        <w:pStyle w:val="7"/>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color w:val="auto"/>
          <w:sz w:val="32"/>
          <w:szCs w:val="32"/>
          <w:lang w:val="en-US" w:eastAsia="zh-CN"/>
        </w:rPr>
      </w:pPr>
      <w:r>
        <w:rPr>
          <w:rFonts w:hint="eastAsia" w:ascii="宋体" w:hAnsi="宋体" w:eastAsia="方正仿宋_GBK" w:cs="方正仿宋_GBK"/>
          <w:b w:val="0"/>
          <w:bCs/>
          <w:color w:val="auto"/>
          <w:sz w:val="32"/>
          <w:szCs w:val="32"/>
          <w:lang w:eastAsia="zh-CN"/>
        </w:rPr>
        <w:t>董莉</w:t>
      </w:r>
      <w:r>
        <w:rPr>
          <w:rFonts w:hint="eastAsia" w:ascii="宋体" w:hAnsi="宋体" w:eastAsia="方正仿宋_GBK" w:cs="方正仿宋_GBK"/>
          <w:b w:val="0"/>
          <w:bCs/>
          <w:color w:val="auto"/>
          <w:sz w:val="32"/>
          <w:szCs w:val="32"/>
        </w:rPr>
        <w:t>   023-</w:t>
      </w:r>
      <w:r>
        <w:rPr>
          <w:rFonts w:hint="eastAsia" w:ascii="宋体" w:hAnsi="宋体" w:eastAsia="方正仿宋_GBK" w:cs="方正仿宋_GBK"/>
          <w:b w:val="0"/>
          <w:bCs/>
          <w:color w:val="auto"/>
          <w:sz w:val="32"/>
          <w:szCs w:val="32"/>
          <w:lang w:val="en-US" w:eastAsia="zh-CN"/>
        </w:rPr>
        <w:t>47569101</w:t>
      </w:r>
    </w:p>
    <w:p>
      <w:pPr>
        <w:keepNext w:val="0"/>
        <w:keepLines w:val="0"/>
        <w:pageBreakBefore w:val="0"/>
        <w:kinsoku/>
        <w:wordWrap/>
        <w:overflowPunct/>
        <w:topLinePunct w:val="0"/>
        <w:autoSpaceDE/>
        <w:autoSpaceDN/>
        <w:bidi w:val="0"/>
        <w:adjustRightInd/>
        <w:snapToGrid/>
        <w:spacing w:beforeAutospacing="0" w:afterAutospacing="0" w:line="579" w:lineRule="exact"/>
        <w:ind w:firstLine="640" w:firstLineChars="200"/>
        <w:textAlignment w:val="auto"/>
        <w:rPr>
          <w:rFonts w:hint="eastAsia" w:ascii="宋体" w:hAnsi="宋体" w:eastAsia="方正仿宋_GBK" w:cs="方正仿宋_GBK"/>
          <w:b w:val="0"/>
          <w:bCs/>
          <w:color w:val="auto"/>
          <w:sz w:val="32"/>
          <w:szCs w:val="32"/>
        </w:rPr>
      </w:pPr>
    </w:p>
    <w:sectPr>
      <w:footerReference r:id="rId5" w:type="default"/>
      <w:pgSz w:w="11907" w:h="16839"/>
      <w:pgMar w:top="2098" w:right="1474" w:bottom="1984" w:left="1587"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jNiYWJkMTFmOTUwMGY3OTI2YWNlNjFhM2I2YmI3Y2QifQ=="/>
  </w:docVars>
  <w:rsids>
    <w:rsidRoot w:val="00000000"/>
    <w:rsid w:val="02895B83"/>
    <w:rsid w:val="05056200"/>
    <w:rsid w:val="05E337FC"/>
    <w:rsid w:val="06C13B3D"/>
    <w:rsid w:val="06E675D2"/>
    <w:rsid w:val="0A283ED3"/>
    <w:rsid w:val="0F3550C8"/>
    <w:rsid w:val="0F91640D"/>
    <w:rsid w:val="10E072B6"/>
    <w:rsid w:val="13743CE5"/>
    <w:rsid w:val="13960100"/>
    <w:rsid w:val="1BD63385"/>
    <w:rsid w:val="21C64DA2"/>
    <w:rsid w:val="274F0899"/>
    <w:rsid w:val="27826579"/>
    <w:rsid w:val="2ACB46DB"/>
    <w:rsid w:val="2BA85563"/>
    <w:rsid w:val="2CDA4FEB"/>
    <w:rsid w:val="2ECB5B01"/>
    <w:rsid w:val="30244565"/>
    <w:rsid w:val="3103697D"/>
    <w:rsid w:val="32A20154"/>
    <w:rsid w:val="38FF3ECD"/>
    <w:rsid w:val="39930ABA"/>
    <w:rsid w:val="3C66600C"/>
    <w:rsid w:val="3FBD49E2"/>
    <w:rsid w:val="40580367"/>
    <w:rsid w:val="417411D1"/>
    <w:rsid w:val="43CF6B92"/>
    <w:rsid w:val="444E5D8C"/>
    <w:rsid w:val="46E110B6"/>
    <w:rsid w:val="470B6133"/>
    <w:rsid w:val="484C255F"/>
    <w:rsid w:val="4A69564B"/>
    <w:rsid w:val="4BDF36EB"/>
    <w:rsid w:val="4D491763"/>
    <w:rsid w:val="4D9C5D37"/>
    <w:rsid w:val="56260894"/>
    <w:rsid w:val="57E427B4"/>
    <w:rsid w:val="58496ABB"/>
    <w:rsid w:val="59941FB8"/>
    <w:rsid w:val="59E861FA"/>
    <w:rsid w:val="5A00764E"/>
    <w:rsid w:val="5BD22E0B"/>
    <w:rsid w:val="5EDD7265"/>
    <w:rsid w:val="5FB46F10"/>
    <w:rsid w:val="607B35EC"/>
    <w:rsid w:val="6287090C"/>
    <w:rsid w:val="67CB129B"/>
    <w:rsid w:val="68AD76BF"/>
    <w:rsid w:val="6A7E0847"/>
    <w:rsid w:val="6BF30DC0"/>
    <w:rsid w:val="6F2B4F83"/>
    <w:rsid w:val="71F97414"/>
    <w:rsid w:val="7420296E"/>
    <w:rsid w:val="78BB0EB8"/>
    <w:rsid w:val="790243F1"/>
    <w:rsid w:val="7BBC1C76"/>
    <w:rsid w:val="7D0E5A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10">
    <w:name w:val="Strong"/>
    <w:qFormat/>
    <w:uiPriority w:val="0"/>
    <w:rPr>
      <w:b/>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1</Company>
  <Pages>14</Pages>
  <Words>5556</Words>
  <Characters>6159</Characters>
  <Lines>289</Lines>
  <Paragraphs>125</Paragraphs>
  <TotalTime>2</TotalTime>
  <ScaleCrop>false</ScaleCrop>
  <LinksUpToDate>false</LinksUpToDate>
  <CharactersWithSpaces>6265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2023-08-15T09:39:00Z</dcterms:created>
  <dc:creator>a</dc:creator>
  <cp:lastModifiedBy>企业用户_741294171</cp:lastModifiedBy>
  <cp:lastPrinted>2023-08-22T09:55:00Z</cp:lastPrinted>
  <dcterms:modified xsi:type="dcterms:W3CDTF">2023-08-23T03:52:04Z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EF7B615B98D64D8E8A6F2644673A0465_13</vt:lpwstr>
  </property>
</Properties>
</file>