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8916E">
      <w:pPr>
        <w:keepNext w:val="0"/>
        <w:keepLines w:val="0"/>
        <w:pageBreakBefore w:val="0"/>
        <w:kinsoku/>
        <w:wordWrap/>
        <w:overflowPunct/>
        <w:topLinePunct w:val="0"/>
        <w:autoSpaceDN/>
        <w:bidi w:val="0"/>
        <w:snapToGrid/>
        <w:spacing w:line="579" w:lineRule="exact"/>
        <w:textAlignment w:val="auto"/>
        <w:rPr>
          <w:rFonts w:hint="eastAsia" w:ascii="宋体" w:hAnsi="宋体" w:eastAsia="方正仿宋_GBK" w:cs="方正仿宋_GBK"/>
          <w:sz w:val="44"/>
          <w:szCs w:val="44"/>
          <w:lang w:eastAsia="zh-CN"/>
        </w:rPr>
      </w:pPr>
    </w:p>
    <w:p w14:paraId="46C09C95">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lang w:val="en-US" w:eastAsia="zh-CN"/>
        </w:rPr>
        <w:t>重庆市江津区公路事务中心</w:t>
      </w:r>
    </w:p>
    <w:p w14:paraId="7DC52FF3">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14:paraId="753D6851">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14:paraId="7AC2F20B">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1D0C1F8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6EA7E70C">
      <w:pPr>
        <w:snapToGrid w:val="0"/>
        <w:spacing w:line="520" w:lineRule="exact"/>
        <w:ind w:firstLine="640" w:firstLineChars="200"/>
        <w:rPr>
          <w:rFonts w:hint="eastAsia" w:ascii="仿宋_GB2312" w:hAnsi="仿宋" w:eastAsia="仿宋_GB2312" w:cs="Times New Roman"/>
          <w:sz w:val="32"/>
          <w:szCs w:val="32"/>
        </w:rPr>
      </w:pPr>
      <w:r>
        <w:rPr>
          <w:rFonts w:hint="eastAsia" w:ascii="方正仿宋_GBK" w:hAnsi="方正仿宋_GBK" w:eastAsia="方正仿宋_GBK" w:cs="方正仿宋_GBK"/>
          <w:color w:val="auto"/>
          <w:kern w:val="2"/>
          <w:sz w:val="32"/>
          <w:szCs w:val="32"/>
          <w:vertAlign w:val="baseline"/>
          <w:lang w:val="en-US" w:eastAsia="zh-CN" w:bidi="ar-SA"/>
        </w:rPr>
        <w:t>重庆市江津区公路事务中心主要职责是：</w:t>
      </w:r>
    </w:p>
    <w:p w14:paraId="5B0A845C">
      <w:pPr>
        <w:keepNext w:val="0"/>
        <w:keepLines w:val="0"/>
        <w:pageBreakBefore w:val="0"/>
        <w:widowControl w:val="0"/>
        <w:kinsoku/>
        <w:wordWrap/>
        <w:overflowPunct/>
        <w:topLinePunct w:val="0"/>
        <w:autoSpaceDE w:val="0"/>
        <w:bidi w:val="0"/>
        <w:spacing w:line="579" w:lineRule="exact"/>
        <w:ind w:firstLine="640" w:firstLineChars="200"/>
        <w:textAlignment w:val="auto"/>
        <w:rPr>
          <w:rFonts w:hint="eastAsia" w:ascii="方正仿宋_GBK" w:hAnsi="方正仿宋_GBK" w:eastAsia="方正仿宋_GBK" w:cs="方正仿宋_GBK"/>
          <w:color w:val="auto"/>
          <w:kern w:val="2"/>
          <w:sz w:val="32"/>
          <w:szCs w:val="32"/>
          <w:vertAlign w:val="baseline"/>
          <w:lang w:val="en-US" w:eastAsia="zh-CN" w:bidi="ar-SA"/>
        </w:rPr>
      </w:pPr>
      <w:r>
        <w:rPr>
          <w:rFonts w:hint="eastAsia" w:ascii="方正仿宋_GBK" w:hAnsi="方正仿宋_GBK" w:eastAsia="方正仿宋_GBK" w:cs="方正仿宋_GBK"/>
          <w:color w:val="auto"/>
          <w:kern w:val="2"/>
          <w:sz w:val="32"/>
          <w:szCs w:val="32"/>
          <w:vertAlign w:val="baseline"/>
          <w:lang w:val="en-US" w:eastAsia="zh-CN" w:bidi="ar-SA"/>
        </w:rPr>
        <w:t>1.</w:t>
      </w:r>
      <w:r>
        <w:rPr>
          <w:rFonts w:hint="eastAsia" w:ascii="方正仿宋_GBK" w:hAnsi="方正仿宋_GBK" w:eastAsia="方正仿宋_GBK" w:cs="方正仿宋_GBK"/>
          <w:sz w:val="32"/>
          <w:szCs w:val="32"/>
        </w:rPr>
        <w:t>贯彻执行公路管理</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法律、法规、规章和政策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rPr>
        <w:t>参与公路建设、养护、路政、运营</w:t>
      </w:r>
      <w:r>
        <w:rPr>
          <w:rFonts w:hint="eastAsia" w:ascii="方正仿宋_GBK" w:hAnsi="方正仿宋_GBK" w:eastAsia="方正仿宋_GBK" w:cs="方正仿宋_GBK"/>
          <w:color w:val="auto"/>
          <w:kern w:val="2"/>
          <w:sz w:val="32"/>
          <w:szCs w:val="32"/>
          <w:vertAlign w:val="baseline"/>
          <w:lang w:val="en-US" w:eastAsia="zh-CN" w:bidi="ar-SA"/>
        </w:rPr>
        <w:t>相关措施、制度、技术规范的起草和组织实施工作。</w:t>
      </w:r>
    </w:p>
    <w:p w14:paraId="6F0E8B8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line="579" w:lineRule="exact"/>
        <w:ind w:right="0"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eastAsia="zh-CN"/>
        </w:rPr>
        <w:t>负责</w:t>
      </w:r>
      <w:r>
        <w:rPr>
          <w:rFonts w:hint="eastAsia" w:ascii="方正仿宋_GBK" w:hAnsi="方正仿宋_GBK" w:eastAsia="方正仿宋_GBK" w:cs="方正仿宋_GBK"/>
          <w:kern w:val="0"/>
          <w:sz w:val="32"/>
          <w:szCs w:val="32"/>
        </w:rPr>
        <w:t>公路行业发展研究，以及有关规划编制和组织实施的事务工作。</w:t>
      </w:r>
    </w:p>
    <w:p w14:paraId="74708BB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line="579" w:lineRule="exact"/>
        <w:ind w:right="0" w:firstLine="640" w:firstLineChars="200"/>
        <w:textAlignment w:val="auto"/>
        <w:outlineLvl w:val="9"/>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val="en-US" w:eastAsia="zh-CN" w:bidi="ar-SA"/>
        </w:rPr>
        <w:t>3.负责全区普通</w:t>
      </w:r>
      <w:r>
        <w:rPr>
          <w:rFonts w:hint="eastAsia" w:ascii="方正仿宋_GBK" w:hAnsi="方正仿宋_GBK" w:eastAsia="方正仿宋_GBK" w:cs="方正仿宋_GBK"/>
          <w:sz w:val="32"/>
          <w:szCs w:val="32"/>
          <w:lang w:bidi="ar-SA"/>
        </w:rPr>
        <w:t>国省</w:t>
      </w:r>
      <w:r>
        <w:rPr>
          <w:rFonts w:hint="eastAsia" w:ascii="方正仿宋_GBK" w:hAnsi="方正仿宋_GBK" w:eastAsia="方正仿宋_GBK" w:cs="方正仿宋_GBK"/>
          <w:sz w:val="32"/>
          <w:szCs w:val="32"/>
          <w:lang w:eastAsia="zh-CN" w:bidi="ar-SA"/>
        </w:rPr>
        <w:t>县</w:t>
      </w:r>
      <w:r>
        <w:rPr>
          <w:rFonts w:hint="eastAsia" w:ascii="方正仿宋_GBK" w:hAnsi="方正仿宋_GBK" w:eastAsia="方正仿宋_GBK" w:cs="方正仿宋_GBK"/>
          <w:sz w:val="32"/>
          <w:szCs w:val="32"/>
          <w:lang w:bidi="ar-SA"/>
        </w:rPr>
        <w:t>道公路</w:t>
      </w:r>
      <w:r>
        <w:rPr>
          <w:rFonts w:hint="eastAsia" w:ascii="方正仿宋_GBK" w:hAnsi="方正仿宋_GBK" w:eastAsia="方正仿宋_GBK" w:cs="方正仿宋_GBK"/>
          <w:sz w:val="32"/>
          <w:szCs w:val="32"/>
          <w:lang w:val="en-US" w:eastAsia="zh-CN" w:bidi="ar-SA"/>
        </w:rPr>
        <w:t>建设、养护和</w:t>
      </w:r>
      <w:r>
        <w:rPr>
          <w:rFonts w:hint="eastAsia" w:ascii="方正仿宋_GBK" w:hAnsi="方正仿宋_GBK" w:eastAsia="方正仿宋_GBK" w:cs="方正仿宋_GBK"/>
          <w:sz w:val="32"/>
          <w:szCs w:val="32"/>
          <w:lang w:bidi="ar-SA"/>
        </w:rPr>
        <w:t>管理</w:t>
      </w:r>
      <w:r>
        <w:rPr>
          <w:rFonts w:hint="eastAsia" w:ascii="方正仿宋_GBK" w:hAnsi="方正仿宋_GBK" w:eastAsia="方正仿宋_GBK" w:cs="方正仿宋_GBK"/>
          <w:sz w:val="32"/>
          <w:szCs w:val="32"/>
          <w:lang w:val="en-US" w:eastAsia="zh-CN" w:bidi="ar-SA"/>
        </w:rPr>
        <w:t>的相关事务</w:t>
      </w:r>
      <w:r>
        <w:rPr>
          <w:rFonts w:hint="eastAsia" w:ascii="方正仿宋_GBK" w:hAnsi="方正仿宋_GBK" w:eastAsia="方正仿宋_GBK" w:cs="方正仿宋_GBK"/>
          <w:sz w:val="32"/>
          <w:szCs w:val="32"/>
          <w:lang w:eastAsia="zh-CN" w:bidi="ar-SA"/>
        </w:rPr>
        <w:t>工作。</w:t>
      </w:r>
      <w:r>
        <w:rPr>
          <w:rFonts w:hint="eastAsia" w:ascii="方正仿宋_GBK" w:hAnsi="方正仿宋_GBK" w:eastAsia="方正仿宋_GBK" w:cs="方正仿宋_GBK"/>
          <w:sz w:val="32"/>
          <w:szCs w:val="32"/>
          <w:lang w:val="en-US" w:eastAsia="zh-CN" w:bidi="ar-SA"/>
        </w:rPr>
        <w:t>负责</w:t>
      </w:r>
      <w:r>
        <w:rPr>
          <w:rFonts w:hint="eastAsia" w:ascii="方正仿宋_GBK" w:hAnsi="方正仿宋_GBK" w:eastAsia="方正仿宋_GBK" w:cs="方正仿宋_GBK"/>
          <w:color w:val="auto"/>
          <w:kern w:val="2"/>
          <w:sz w:val="32"/>
          <w:szCs w:val="32"/>
          <w:vertAlign w:val="baseline"/>
          <w:lang w:val="en-US" w:eastAsia="zh-CN" w:bidi="ar-SA"/>
        </w:rPr>
        <w:t>全区农村公路建设、养护管理相关事务工作。负责全区普通国省县道公路服务设施建设、管理工作。</w:t>
      </w:r>
    </w:p>
    <w:p w14:paraId="73A4A51F">
      <w:pPr>
        <w:keepNext w:val="0"/>
        <w:keepLines w:val="0"/>
        <w:pageBreakBefore w:val="0"/>
        <w:widowControl w:val="0"/>
        <w:kinsoku/>
        <w:wordWrap/>
        <w:overflowPunct/>
        <w:topLinePunct w:val="0"/>
        <w:bidi w:val="0"/>
        <w:spacing w:line="579" w:lineRule="exact"/>
        <w:ind w:firstLine="640" w:firstLineChars="200"/>
        <w:textAlignment w:val="auto"/>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val="en-US" w:eastAsia="zh-CN" w:bidi="ar-SA"/>
        </w:rPr>
        <w:t>4.负责辖区</w:t>
      </w:r>
      <w:r>
        <w:rPr>
          <w:rFonts w:hint="eastAsia" w:ascii="方正仿宋_GBK" w:hAnsi="方正仿宋_GBK" w:eastAsia="方正仿宋_GBK" w:cs="方正仿宋_GBK"/>
          <w:sz w:val="32"/>
          <w:szCs w:val="32"/>
          <w:lang w:bidi="ar-SA"/>
        </w:rPr>
        <w:t>公路路政管理</w:t>
      </w:r>
      <w:r>
        <w:rPr>
          <w:rFonts w:hint="eastAsia" w:ascii="方正仿宋_GBK" w:hAnsi="方正仿宋_GBK" w:eastAsia="方正仿宋_GBK" w:cs="方正仿宋_GBK"/>
          <w:sz w:val="32"/>
          <w:szCs w:val="32"/>
          <w:lang w:val="en-US" w:eastAsia="zh-CN" w:bidi="ar-SA"/>
        </w:rPr>
        <w:t>的</w:t>
      </w:r>
      <w:r>
        <w:rPr>
          <w:rFonts w:hint="eastAsia" w:ascii="方正仿宋_GBK" w:hAnsi="方正仿宋_GBK" w:eastAsia="方正仿宋_GBK" w:cs="方正仿宋_GBK"/>
          <w:sz w:val="32"/>
          <w:szCs w:val="32"/>
          <w:lang w:bidi="ar-SA"/>
        </w:rPr>
        <w:t>事务工作</w:t>
      </w:r>
      <w:r>
        <w:rPr>
          <w:rFonts w:hint="eastAsia" w:ascii="方正仿宋_GBK" w:hAnsi="方正仿宋_GBK" w:eastAsia="方正仿宋_GBK" w:cs="方正仿宋_GBK"/>
          <w:sz w:val="32"/>
          <w:szCs w:val="32"/>
          <w:lang w:eastAsia="zh-CN" w:bidi="ar-SA"/>
        </w:rPr>
        <w:t>。</w:t>
      </w:r>
    </w:p>
    <w:p w14:paraId="0B16C75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line="579" w:lineRule="exact"/>
        <w:ind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2"/>
          <w:sz w:val="32"/>
          <w:szCs w:val="32"/>
          <w:vertAlign w:val="baseline"/>
          <w:lang w:val="en-US" w:eastAsia="zh-CN" w:bidi="ar-SA"/>
        </w:rPr>
        <w:t>5.</w:t>
      </w:r>
      <w:r>
        <w:rPr>
          <w:rFonts w:hint="eastAsia" w:ascii="方正仿宋_GBK" w:hAnsi="方正仿宋_GBK" w:eastAsia="方正仿宋_GBK" w:cs="方正仿宋_GBK"/>
          <w:sz w:val="32"/>
          <w:szCs w:val="32"/>
          <w:lang w:val="en-US" w:eastAsia="zh-CN"/>
        </w:rPr>
        <w:t>负责辖区职责范围内的桥梁、隧道的日常养护管理工作。</w:t>
      </w:r>
    </w:p>
    <w:p w14:paraId="6F1F40A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line="579" w:lineRule="exact"/>
        <w:ind w:right="0" w:firstLine="640" w:firstLineChars="200"/>
        <w:textAlignment w:val="auto"/>
        <w:outlineLvl w:val="9"/>
        <w:rPr>
          <w:rFonts w:hint="eastAsia" w:ascii="方正仿宋_GBK" w:hAnsi="方正仿宋_GBK" w:eastAsia="方正仿宋_GBK" w:cs="方正仿宋_GBK"/>
          <w:color w:val="auto"/>
          <w:kern w:val="2"/>
          <w:sz w:val="32"/>
          <w:szCs w:val="32"/>
          <w:vertAlign w:val="baseline"/>
          <w:lang w:val="en-US" w:eastAsia="zh-CN" w:bidi="ar-SA"/>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color w:val="auto"/>
          <w:kern w:val="2"/>
          <w:sz w:val="32"/>
          <w:szCs w:val="32"/>
          <w:vertAlign w:val="baseline"/>
          <w:lang w:val="en-US" w:eastAsia="zh-CN" w:bidi="ar-SA"/>
        </w:rPr>
        <w:t>负责朱杨车渡的运行管理工作。</w:t>
      </w:r>
    </w:p>
    <w:p w14:paraId="19ABCA1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line="579" w:lineRule="exact"/>
        <w:ind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lang w:val="en-US" w:eastAsia="zh-CN"/>
        </w:rPr>
        <w:t>全区普通</w:t>
      </w:r>
      <w:r>
        <w:rPr>
          <w:rFonts w:hint="eastAsia" w:ascii="方正仿宋_GBK" w:hAnsi="方正仿宋_GBK" w:eastAsia="方正仿宋_GBK" w:cs="方正仿宋_GBK"/>
          <w:sz w:val="32"/>
          <w:szCs w:val="32"/>
        </w:rPr>
        <w:t>国省县道路网运行管理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公路行业</w:t>
      </w:r>
      <w:r>
        <w:rPr>
          <w:rFonts w:hint="eastAsia" w:ascii="方正仿宋_GBK" w:hAnsi="方正仿宋_GBK" w:eastAsia="方正仿宋_GBK" w:cs="方正仿宋_GBK"/>
          <w:sz w:val="32"/>
          <w:szCs w:val="32"/>
        </w:rPr>
        <w:t>安全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应急管理、公路战备的事务工作。</w:t>
      </w:r>
    </w:p>
    <w:p w14:paraId="6937A18B">
      <w:pPr>
        <w:keepNext w:val="0"/>
        <w:keepLines w:val="0"/>
        <w:pageBreakBefore w:val="0"/>
        <w:widowControl w:val="0"/>
        <w:kinsoku/>
        <w:wordWrap/>
        <w:overflowPunct/>
        <w:topLinePunct w:val="0"/>
        <w:autoSpaceDE w:val="0"/>
        <w:bidi w:val="0"/>
        <w:spacing w:line="579"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lang w:eastAsia="zh-CN"/>
        </w:rPr>
        <w:t>负责</w:t>
      </w:r>
      <w:r>
        <w:rPr>
          <w:rFonts w:hint="eastAsia" w:ascii="方正仿宋_GBK" w:hAnsi="方正仿宋_GBK" w:eastAsia="方正仿宋_GBK" w:cs="方正仿宋_GBK"/>
          <w:kern w:val="0"/>
          <w:sz w:val="32"/>
          <w:szCs w:val="32"/>
          <w:lang w:val="en-US" w:eastAsia="zh-CN"/>
        </w:rPr>
        <w:t>辖区</w:t>
      </w:r>
      <w:r>
        <w:rPr>
          <w:rFonts w:hint="eastAsia" w:ascii="方正仿宋_GBK" w:hAnsi="方正仿宋_GBK" w:eastAsia="方正仿宋_GBK" w:cs="方正仿宋_GBK"/>
          <w:kern w:val="0"/>
          <w:sz w:val="32"/>
          <w:szCs w:val="32"/>
        </w:rPr>
        <w:t>公路行业生态环境保护、节能减排等有关</w:t>
      </w:r>
      <w:r>
        <w:rPr>
          <w:rFonts w:hint="eastAsia" w:ascii="方正仿宋_GBK" w:hAnsi="方正仿宋_GBK" w:eastAsia="方正仿宋_GBK" w:cs="方正仿宋_GBK"/>
          <w:kern w:val="0"/>
          <w:sz w:val="32"/>
          <w:szCs w:val="32"/>
          <w:lang w:val="en-US" w:eastAsia="zh-CN"/>
        </w:rPr>
        <w:t>事务</w:t>
      </w:r>
      <w:r>
        <w:rPr>
          <w:rFonts w:hint="eastAsia" w:ascii="方正仿宋_GBK" w:hAnsi="方正仿宋_GBK" w:eastAsia="方正仿宋_GBK" w:cs="方正仿宋_GBK"/>
          <w:kern w:val="0"/>
          <w:sz w:val="32"/>
          <w:szCs w:val="32"/>
        </w:rPr>
        <w:t>工作</w:t>
      </w:r>
      <w:r>
        <w:rPr>
          <w:rFonts w:hint="eastAsia" w:ascii="方正仿宋_GBK" w:hAnsi="方正仿宋_GBK" w:eastAsia="方正仿宋_GBK" w:cs="方正仿宋_GBK"/>
          <w:kern w:val="0"/>
          <w:sz w:val="32"/>
          <w:szCs w:val="32"/>
          <w:lang w:eastAsia="zh-CN"/>
        </w:rPr>
        <w:t>。</w:t>
      </w:r>
    </w:p>
    <w:p w14:paraId="3D563664">
      <w:pPr>
        <w:keepNext w:val="0"/>
        <w:keepLines w:val="0"/>
        <w:pageBreakBefore w:val="0"/>
        <w:widowControl w:val="0"/>
        <w:kinsoku/>
        <w:wordWrap/>
        <w:overflowPunct/>
        <w:topLinePunct w:val="0"/>
        <w:autoSpaceDE w:val="0"/>
        <w:bidi w:val="0"/>
        <w:spacing w:line="579"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9.负责公路</w:t>
      </w:r>
      <w:r>
        <w:rPr>
          <w:rFonts w:hint="eastAsia" w:ascii="方正仿宋_GBK" w:hAnsi="方正仿宋_GBK" w:eastAsia="方正仿宋_GBK" w:cs="方正仿宋_GBK"/>
          <w:kern w:val="0"/>
          <w:sz w:val="32"/>
          <w:szCs w:val="32"/>
        </w:rPr>
        <w:t>行业统计、信用体系</w:t>
      </w:r>
      <w:r>
        <w:rPr>
          <w:rFonts w:hint="eastAsia" w:ascii="方正仿宋_GBK" w:hAnsi="方正仿宋_GBK" w:eastAsia="方正仿宋_GBK" w:cs="方正仿宋_GBK"/>
          <w:kern w:val="0"/>
          <w:sz w:val="32"/>
          <w:szCs w:val="32"/>
          <w:lang w:val="en-US" w:eastAsia="zh-CN"/>
        </w:rPr>
        <w:t>建设</w:t>
      </w:r>
      <w:r>
        <w:rPr>
          <w:rFonts w:hint="eastAsia" w:ascii="方正仿宋_GBK" w:hAnsi="方正仿宋_GBK" w:eastAsia="方正仿宋_GBK" w:cs="方正仿宋_GBK"/>
          <w:kern w:val="0"/>
          <w:sz w:val="32"/>
          <w:szCs w:val="32"/>
        </w:rPr>
        <w:t>、科技成果推广应用和信息化等</w:t>
      </w:r>
      <w:r>
        <w:rPr>
          <w:rFonts w:hint="eastAsia" w:ascii="方正仿宋_GBK" w:hAnsi="方正仿宋_GBK" w:eastAsia="方正仿宋_GBK" w:cs="方正仿宋_GBK"/>
          <w:kern w:val="0"/>
          <w:sz w:val="32"/>
          <w:szCs w:val="32"/>
          <w:lang w:val="en-US" w:eastAsia="zh-CN"/>
        </w:rPr>
        <w:t>事务</w:t>
      </w:r>
      <w:r>
        <w:rPr>
          <w:rFonts w:hint="eastAsia" w:ascii="方正仿宋_GBK" w:hAnsi="方正仿宋_GBK" w:eastAsia="方正仿宋_GBK" w:cs="方正仿宋_GBK"/>
          <w:kern w:val="0"/>
          <w:sz w:val="32"/>
          <w:szCs w:val="32"/>
        </w:rPr>
        <w:t>工作</w:t>
      </w:r>
      <w:r>
        <w:rPr>
          <w:rFonts w:hint="eastAsia" w:ascii="方正仿宋_GBK" w:hAnsi="方正仿宋_GBK" w:eastAsia="方正仿宋_GBK" w:cs="方正仿宋_GBK"/>
          <w:kern w:val="0"/>
          <w:sz w:val="32"/>
          <w:szCs w:val="32"/>
          <w:lang w:eastAsia="zh-CN"/>
        </w:rPr>
        <w:t>；负责</w:t>
      </w:r>
      <w:r>
        <w:rPr>
          <w:rFonts w:hint="eastAsia" w:ascii="方正仿宋_GBK" w:hAnsi="方正仿宋_GBK" w:eastAsia="方正仿宋_GBK" w:cs="方正仿宋_GBK"/>
          <w:kern w:val="0"/>
          <w:sz w:val="32"/>
          <w:szCs w:val="32"/>
        </w:rPr>
        <w:t>公路行</w:t>
      </w:r>
      <w:r>
        <w:rPr>
          <w:rFonts w:hint="eastAsia" w:ascii="方正仿宋_GBK" w:hAnsi="方正仿宋_GBK" w:eastAsia="方正仿宋_GBK" w:cs="方正仿宋_GBK"/>
          <w:kern w:val="0"/>
          <w:sz w:val="32"/>
          <w:szCs w:val="32"/>
          <w:lang w:val="en-US" w:eastAsia="zh-CN"/>
        </w:rPr>
        <w:t>业</w:t>
      </w:r>
      <w:r>
        <w:rPr>
          <w:rFonts w:hint="eastAsia" w:ascii="方正仿宋_GBK" w:hAnsi="方正仿宋_GBK" w:eastAsia="方正仿宋_GBK" w:cs="方正仿宋_GBK"/>
          <w:kern w:val="0"/>
          <w:sz w:val="32"/>
          <w:szCs w:val="32"/>
        </w:rPr>
        <w:t>精神文明建设工作。</w:t>
      </w:r>
    </w:p>
    <w:p w14:paraId="4CB12DF9">
      <w:pPr>
        <w:keepNext w:val="0"/>
        <w:keepLines w:val="0"/>
        <w:pageBreakBefore w:val="0"/>
        <w:widowControl w:val="0"/>
        <w:kinsoku/>
        <w:wordWrap/>
        <w:overflowPunct/>
        <w:topLinePunct w:val="0"/>
        <w:autoSpaceDE w:val="0"/>
        <w:bidi w:val="0"/>
        <w:spacing w:line="579"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10.</w:t>
      </w:r>
      <w:r>
        <w:rPr>
          <w:rFonts w:hint="eastAsia" w:ascii="方正仿宋_GBK" w:hAnsi="方正仿宋_GBK" w:eastAsia="方正仿宋_GBK" w:cs="方正仿宋_GBK"/>
          <w:kern w:val="0"/>
          <w:sz w:val="32"/>
          <w:szCs w:val="32"/>
        </w:rPr>
        <w:t>完</w:t>
      </w:r>
      <w:r>
        <w:rPr>
          <w:rFonts w:hint="eastAsia" w:ascii="方正仿宋_GBK" w:hAnsi="方正仿宋_GBK" w:eastAsia="方正仿宋_GBK" w:cs="方正仿宋_GBK"/>
          <w:kern w:val="0"/>
          <w:sz w:val="32"/>
          <w:szCs w:val="32"/>
          <w:lang w:val="en-US" w:eastAsia="zh-CN"/>
        </w:rPr>
        <w:t>成主管部门交办的</w:t>
      </w:r>
      <w:r>
        <w:rPr>
          <w:rFonts w:hint="eastAsia" w:ascii="方正仿宋_GBK" w:hAnsi="方正仿宋_GBK" w:eastAsia="方正仿宋_GBK" w:cs="方正仿宋_GBK"/>
          <w:kern w:val="0"/>
          <w:sz w:val="32"/>
          <w:szCs w:val="32"/>
        </w:rPr>
        <w:t>其他任务。</w:t>
      </w:r>
    </w:p>
    <w:p w14:paraId="2F474F88">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6F41E788">
      <w:pPr>
        <w:keepNext w:val="0"/>
        <w:keepLines w:val="0"/>
        <w:pageBreakBefore w:val="0"/>
        <w:widowControl w:val="0"/>
        <w:kinsoku/>
        <w:wordWrap/>
        <w:overflowPunct/>
        <w:topLinePunct w:val="0"/>
        <w:bidi w:val="0"/>
        <w:spacing w:line="579"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color w:val="auto"/>
          <w:kern w:val="2"/>
          <w:sz w:val="32"/>
          <w:szCs w:val="32"/>
          <w:vertAlign w:val="baseline"/>
          <w:lang w:val="en-US" w:eastAsia="zh-CN" w:bidi="ar-SA"/>
        </w:rPr>
        <w:t>重庆市江津区公路事务中心为重庆市江津区交通运输委所属公益一类事业单位，机构规格为副处级，按全额拨款予以财政保障。</w:t>
      </w:r>
      <w:r>
        <w:rPr>
          <w:rFonts w:hint="eastAsia" w:ascii="仿宋_GB2312" w:hAnsi="仿宋" w:eastAsia="仿宋_GB2312" w:cs="Times New Roman"/>
          <w:sz w:val="32"/>
          <w:szCs w:val="32"/>
          <w:lang w:bidi="ar-SA"/>
        </w:rPr>
        <w:t>内设</w:t>
      </w:r>
      <w:r>
        <w:rPr>
          <w:rFonts w:hint="eastAsia" w:ascii="仿宋_GB2312" w:hAnsi="仿宋" w:eastAsia="仿宋_GB2312" w:cs="Times New Roman"/>
          <w:sz w:val="32"/>
          <w:szCs w:val="32"/>
          <w:lang w:val="en-US" w:eastAsia="zh-CN" w:bidi="ar-SA"/>
        </w:rPr>
        <w:t>八科六站一队（</w:t>
      </w:r>
      <w:r>
        <w:rPr>
          <w:rFonts w:hint="eastAsia" w:ascii="方正仿宋_GBK" w:hAnsi="方正仿宋_GBK" w:eastAsia="方正仿宋_GBK" w:cs="方正仿宋_GBK"/>
          <w:color w:val="000000"/>
          <w:sz w:val="32"/>
          <w:szCs w:val="32"/>
          <w:lang w:val="en-US" w:eastAsia="zh-CN" w:bidi="ar-SA"/>
        </w:rPr>
        <w:t>综合科、</w:t>
      </w:r>
      <w:r>
        <w:rPr>
          <w:rFonts w:hint="eastAsia" w:ascii="方正仿宋_GBK" w:hAnsi="方正仿宋_GBK" w:eastAsia="方正仿宋_GBK" w:cs="方正仿宋_GBK"/>
          <w:color w:val="000000"/>
          <w:sz w:val="32"/>
          <w:szCs w:val="32"/>
          <w:lang w:eastAsia="zh-CN" w:bidi="ar-SA"/>
        </w:rPr>
        <w:t>国省道</w:t>
      </w:r>
      <w:r>
        <w:rPr>
          <w:rFonts w:hint="eastAsia" w:ascii="方正仿宋_GBK" w:hAnsi="方正仿宋_GBK" w:eastAsia="方正仿宋_GBK" w:cs="方正仿宋_GBK"/>
          <w:sz w:val="32"/>
          <w:szCs w:val="32"/>
          <w:lang w:val="en-US" w:eastAsia="zh-CN" w:bidi="ar-SA"/>
        </w:rPr>
        <w:t>管护科、农村公路管护科、</w:t>
      </w:r>
      <w:r>
        <w:rPr>
          <w:rFonts w:hint="eastAsia" w:ascii="方正仿宋_GBK" w:hAnsi="方正仿宋_GBK" w:eastAsia="方正仿宋_GBK" w:cs="方正仿宋_GBK"/>
          <w:bCs/>
          <w:sz w:val="32"/>
          <w:szCs w:val="32"/>
          <w:lang w:eastAsia="zh-CN" w:bidi="ar-SA"/>
        </w:rPr>
        <w:t>公路</w:t>
      </w:r>
      <w:r>
        <w:rPr>
          <w:rFonts w:hint="eastAsia" w:ascii="方正仿宋_GBK" w:hAnsi="方正仿宋_GBK" w:eastAsia="方正仿宋_GBK" w:cs="方正仿宋_GBK"/>
          <w:bCs/>
          <w:sz w:val="32"/>
          <w:szCs w:val="32"/>
          <w:lang w:bidi="ar-SA"/>
        </w:rPr>
        <w:t>建设科</w:t>
      </w:r>
      <w:r>
        <w:rPr>
          <w:rFonts w:hint="eastAsia" w:ascii="方正仿宋_GBK" w:hAnsi="方正仿宋_GBK" w:eastAsia="方正仿宋_GBK" w:cs="方正仿宋_GBK"/>
          <w:bCs/>
          <w:sz w:val="32"/>
          <w:szCs w:val="32"/>
          <w:lang w:eastAsia="zh-CN" w:bidi="ar-SA"/>
        </w:rPr>
        <w:t>、</w:t>
      </w:r>
      <w:r>
        <w:rPr>
          <w:rFonts w:hint="eastAsia" w:ascii="方正仿宋_GBK" w:hAnsi="方正仿宋_GBK" w:eastAsia="方正仿宋_GBK" w:cs="方正仿宋_GBK"/>
          <w:sz w:val="32"/>
          <w:szCs w:val="32"/>
          <w:lang w:eastAsia="zh-CN" w:bidi="ar-SA"/>
        </w:rPr>
        <w:t>路政事务科、安全科、</w:t>
      </w:r>
      <w:r>
        <w:rPr>
          <w:rFonts w:hint="eastAsia" w:ascii="方正仿宋_GBK" w:hAnsi="方正仿宋_GBK" w:eastAsia="方正仿宋_GBK" w:cs="方正仿宋_GBK"/>
          <w:sz w:val="32"/>
          <w:szCs w:val="32"/>
          <w:lang w:val="en-US" w:eastAsia="zh-CN" w:bidi="ar-SA"/>
        </w:rPr>
        <w:t>车渡管理科、机械管理科、先锋公路管理站、油溪公路管理站、白沙公路管理站、贾嗣公路管理站、蔡家公路管理站、李市公路管理站、小修作业队</w:t>
      </w:r>
      <w:r>
        <w:rPr>
          <w:rFonts w:hint="eastAsia" w:ascii="仿宋_GB2312" w:hAnsi="仿宋" w:eastAsia="仿宋_GB2312" w:cs="Times New Roman"/>
          <w:sz w:val="32"/>
          <w:szCs w:val="32"/>
          <w:lang w:val="en-US" w:eastAsia="zh-CN" w:bidi="ar-SA"/>
        </w:rPr>
        <w:t>）。核定</w:t>
      </w:r>
      <w:r>
        <w:rPr>
          <w:rFonts w:hint="eastAsia" w:ascii="方正仿宋_GBK" w:hAnsi="方正仿宋_GBK" w:eastAsia="方正仿宋_GBK" w:cs="方正仿宋_GBK"/>
          <w:sz w:val="32"/>
          <w:szCs w:val="32"/>
          <w:lang w:val="en-US" w:eastAsia="zh-CN" w:bidi="ar-SA"/>
        </w:rPr>
        <w:t>编制</w:t>
      </w:r>
      <w:r>
        <w:rPr>
          <w:rFonts w:hint="eastAsia" w:ascii="宋体" w:hAnsi="宋体" w:eastAsia="宋体" w:cs="宋体"/>
          <w:sz w:val="32"/>
          <w:szCs w:val="32"/>
          <w:lang w:val="en-US" w:eastAsia="zh-CN" w:bidi="ar-SA"/>
        </w:rPr>
        <w:t>79</w:t>
      </w:r>
      <w:r>
        <w:rPr>
          <w:rFonts w:hint="eastAsia" w:ascii="方正仿宋_GBK" w:hAnsi="方正仿宋_GBK" w:eastAsia="方正仿宋_GBK" w:cs="方正仿宋_GBK"/>
          <w:sz w:val="32"/>
          <w:szCs w:val="32"/>
          <w:lang w:val="en-US" w:eastAsia="zh-CN" w:bidi="ar-SA"/>
        </w:rPr>
        <w:t>名，现有在编人员采取“退二减一补一”的办法进行管理，直至达到核定编制数。其中</w:t>
      </w:r>
      <w:r>
        <w:rPr>
          <w:rFonts w:hint="eastAsia" w:ascii="方正仿宋_GBK" w:hAnsi="方正仿宋_GBK" w:eastAsia="方正仿宋_GBK" w:cs="方正仿宋_GBK"/>
          <w:kern w:val="2"/>
          <w:sz w:val="32"/>
          <w:szCs w:val="32"/>
          <w:lang w:val="en-US" w:eastAsia="zh-CN" w:bidi="ar-SA"/>
        </w:rPr>
        <w:t>，主任</w:t>
      </w:r>
      <w:r>
        <w:rPr>
          <w:rFonts w:hint="eastAsia" w:ascii="宋体" w:hAnsi="宋体" w:eastAsia="宋体" w:cs="宋体"/>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名，副主任</w:t>
      </w:r>
      <w:r>
        <w:rPr>
          <w:rFonts w:hint="eastAsia" w:ascii="宋体" w:hAnsi="宋体" w:eastAsia="宋体" w:cs="宋体"/>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名；内设机构科级领导</w:t>
      </w:r>
      <w:r>
        <w:rPr>
          <w:rFonts w:hint="eastAsia" w:ascii="宋体" w:hAnsi="宋体" w:eastAsia="宋体" w:cs="宋体"/>
          <w:kern w:val="2"/>
          <w:sz w:val="32"/>
          <w:szCs w:val="32"/>
          <w:lang w:val="en-US" w:eastAsia="zh-CN" w:bidi="ar-SA"/>
        </w:rPr>
        <w:t>18</w:t>
      </w:r>
      <w:r>
        <w:rPr>
          <w:rFonts w:hint="eastAsia" w:ascii="方正仿宋_GBK" w:hAnsi="方正仿宋_GBK" w:eastAsia="方正仿宋_GBK" w:cs="方正仿宋_GBK"/>
          <w:kern w:val="2"/>
          <w:sz w:val="32"/>
          <w:szCs w:val="32"/>
          <w:lang w:val="en-US" w:eastAsia="zh-CN" w:bidi="ar-SA"/>
        </w:rPr>
        <w:t>名。</w:t>
      </w:r>
    </w:p>
    <w:p w14:paraId="6FA65990">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1B20D566">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6EBF23F0">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w:t>
      </w:r>
      <w:r>
        <w:rPr>
          <w:rFonts w:hint="eastAsia" w:ascii="仿宋_GB2312" w:hAnsi="仿宋" w:eastAsia="仿宋_GB2312" w:cs="Times New Roman"/>
          <w:sz w:val="32"/>
          <w:szCs w:val="32"/>
          <w:lang w:val="en-US" w:eastAsia="zh-CN"/>
        </w:rPr>
        <w:t>3881.01</w:t>
      </w:r>
      <w:r>
        <w:rPr>
          <w:rFonts w:hint="eastAsia" w:ascii="宋体" w:hAnsi="宋体" w:eastAsia="方正仿宋_GBK" w:cs="方正仿宋_GBK"/>
          <w:b w:val="0"/>
          <w:bCs w:val="0"/>
          <w:sz w:val="32"/>
          <w:szCs w:val="32"/>
          <w:lang w:val="en-US" w:eastAsia="zh-CN"/>
        </w:rPr>
        <w:t>万元，支出总计</w:t>
      </w:r>
      <w:r>
        <w:rPr>
          <w:rFonts w:hint="eastAsia" w:ascii="仿宋_GB2312" w:hAnsi="仿宋" w:eastAsia="仿宋_GB2312" w:cs="Times New Roman"/>
          <w:sz w:val="32"/>
          <w:szCs w:val="32"/>
          <w:lang w:val="en-US" w:eastAsia="zh-CN"/>
        </w:rPr>
        <w:t>3881.01</w:t>
      </w:r>
      <w:r>
        <w:rPr>
          <w:rFonts w:hint="eastAsia" w:ascii="宋体" w:hAnsi="宋体" w:eastAsia="方正仿宋_GBK" w:cs="方正仿宋_GBK"/>
          <w:b w:val="0"/>
          <w:bCs w:val="0"/>
          <w:sz w:val="32"/>
          <w:szCs w:val="32"/>
          <w:lang w:val="en-US" w:eastAsia="zh-CN"/>
        </w:rPr>
        <w:t>万元。收支较</w:t>
      </w:r>
      <w:r>
        <w:rPr>
          <w:rFonts w:hint="eastAsia" w:ascii="仿宋_GB2312" w:hAnsi="仿宋" w:eastAsia="仿宋_GB2312" w:cs="Times New Roman"/>
          <w:sz w:val="32"/>
          <w:szCs w:val="32"/>
          <w:lang w:val="en-US" w:eastAsia="zh-CN"/>
        </w:rPr>
        <w:t>上年减少69.77万元，减少1.77%</w:t>
      </w:r>
      <w:r>
        <w:rPr>
          <w:rFonts w:hint="eastAsia" w:ascii="宋体" w:hAnsi="宋体" w:eastAsia="方正仿宋_GBK" w:cs="方正仿宋_GBK"/>
          <w:b w:val="0"/>
          <w:bCs w:val="0"/>
          <w:sz w:val="32"/>
          <w:szCs w:val="32"/>
          <w:lang w:val="en-US" w:eastAsia="zh-CN"/>
        </w:rPr>
        <w:t>，主要原因为</w:t>
      </w:r>
      <w:r>
        <w:rPr>
          <w:rFonts w:hint="eastAsia" w:ascii="仿宋_GB2312" w:hAnsi="仿宋" w:eastAsia="仿宋_GB2312" w:cs="Times New Roman"/>
          <w:sz w:val="32"/>
          <w:szCs w:val="32"/>
          <w:highlight w:val="none"/>
          <w:lang w:val="en-US" w:eastAsia="zh-CN"/>
        </w:rPr>
        <w:t>人员</w:t>
      </w:r>
      <w:r>
        <w:rPr>
          <w:rFonts w:hint="eastAsia" w:ascii="宋体" w:hAnsi="宋体" w:eastAsia="方正仿宋_GBK" w:cs="方正仿宋_GBK"/>
          <w:sz w:val="32"/>
          <w:szCs w:val="32"/>
        </w:rPr>
        <w:t>收入</w:t>
      </w:r>
      <w:r>
        <w:rPr>
          <w:rFonts w:hint="eastAsia" w:ascii="宋体" w:hAnsi="宋体" w:eastAsia="方正仿宋_GBK" w:cs="方正仿宋_GBK"/>
          <w:sz w:val="32"/>
          <w:szCs w:val="32"/>
          <w:lang w:val="en-US" w:eastAsia="zh-CN"/>
        </w:rPr>
        <w:t>减少</w:t>
      </w:r>
      <w:r>
        <w:rPr>
          <w:rFonts w:ascii="宋体" w:hAnsi="宋体" w:eastAsia="方正仿宋_GBK" w:cs="方正仿宋_GBK"/>
          <w:sz w:val="32"/>
          <w:szCs w:val="32"/>
        </w:rPr>
        <w:t>，</w:t>
      </w:r>
      <w:r>
        <w:rPr>
          <w:rFonts w:hint="eastAsia" w:ascii="宋体" w:hAnsi="宋体" w:eastAsia="方正仿宋_GBK" w:cs="方正仿宋_GBK"/>
          <w:sz w:val="32"/>
          <w:szCs w:val="32"/>
          <w:lang w:val="en-US" w:eastAsia="zh-CN"/>
        </w:rPr>
        <w:t>基本</w:t>
      </w:r>
      <w:r>
        <w:rPr>
          <w:rFonts w:ascii="宋体" w:hAnsi="宋体" w:eastAsia="方正仿宋_GBK" w:cs="方正仿宋_GBK"/>
          <w:sz w:val="32"/>
          <w:szCs w:val="32"/>
        </w:rPr>
        <w:t>支出</w:t>
      </w:r>
      <w:r>
        <w:rPr>
          <w:rFonts w:hint="eastAsia" w:ascii="宋体" w:hAnsi="宋体" w:eastAsia="方正仿宋_GBK" w:cs="方正仿宋_GBK"/>
          <w:sz w:val="32"/>
          <w:szCs w:val="32"/>
          <w:lang w:val="en-US" w:eastAsia="zh-CN"/>
        </w:rPr>
        <w:t>减少</w:t>
      </w:r>
      <w:r>
        <w:rPr>
          <w:rFonts w:hint="eastAsia" w:ascii="宋体" w:hAnsi="宋体" w:eastAsia="方正仿宋_GBK" w:cs="方正仿宋_GBK"/>
          <w:b w:val="0"/>
          <w:bCs w:val="0"/>
          <w:sz w:val="32"/>
          <w:szCs w:val="32"/>
          <w:lang w:val="en-US" w:eastAsia="zh-CN"/>
        </w:rPr>
        <w:t>。</w:t>
      </w:r>
    </w:p>
    <w:p w14:paraId="6E5C1085">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w:t>
      </w:r>
      <w:r>
        <w:rPr>
          <w:rFonts w:hint="eastAsia" w:ascii="仿宋_GB2312" w:hAnsi="仿宋" w:eastAsia="仿宋_GB2312" w:cs="Times New Roman"/>
          <w:sz w:val="32"/>
          <w:szCs w:val="32"/>
          <w:lang w:val="en-US" w:eastAsia="zh-CN"/>
        </w:rPr>
        <w:t>3881.01</w:t>
      </w:r>
      <w:r>
        <w:rPr>
          <w:rFonts w:hint="eastAsia" w:ascii="宋体" w:hAnsi="宋体" w:eastAsia="方正仿宋_GBK" w:cs="方正仿宋_GBK"/>
          <w:b w:val="0"/>
          <w:bCs w:val="0"/>
          <w:sz w:val="32"/>
          <w:szCs w:val="32"/>
          <w:lang w:val="en-US" w:eastAsia="zh-CN"/>
        </w:rPr>
        <w:t>万元，较</w:t>
      </w:r>
      <w:r>
        <w:rPr>
          <w:rFonts w:hint="eastAsia" w:ascii="仿宋_GB2312" w:hAnsi="仿宋" w:eastAsia="仿宋_GB2312" w:cs="Times New Roman"/>
          <w:sz w:val="32"/>
          <w:szCs w:val="32"/>
          <w:lang w:val="en-US" w:eastAsia="zh-CN"/>
        </w:rPr>
        <w:t>上年减少69.77万元，减少1.77%</w:t>
      </w:r>
      <w:r>
        <w:rPr>
          <w:rFonts w:hint="eastAsia" w:ascii="宋体" w:hAnsi="宋体" w:eastAsia="方正仿宋_GBK" w:cs="方正仿宋_GBK"/>
          <w:b w:val="0"/>
          <w:bCs w:val="0"/>
          <w:sz w:val="32"/>
          <w:szCs w:val="32"/>
          <w:lang w:val="en-US" w:eastAsia="zh-CN"/>
        </w:rPr>
        <w:t>，主要原因为</w:t>
      </w:r>
      <w:r>
        <w:rPr>
          <w:rFonts w:hint="eastAsia" w:ascii="仿宋_GB2312" w:hAnsi="仿宋" w:eastAsia="仿宋_GB2312" w:cs="Times New Roman"/>
          <w:sz w:val="32"/>
          <w:szCs w:val="32"/>
          <w:highlight w:val="none"/>
          <w:lang w:val="en-US" w:eastAsia="zh-CN"/>
        </w:rPr>
        <w:t>人员</w:t>
      </w:r>
      <w:r>
        <w:rPr>
          <w:rFonts w:hint="eastAsia" w:ascii="宋体" w:hAnsi="宋体" w:eastAsia="方正仿宋_GBK" w:cs="方正仿宋_GBK"/>
          <w:sz w:val="32"/>
          <w:szCs w:val="32"/>
        </w:rPr>
        <w:t>收入</w:t>
      </w:r>
      <w:r>
        <w:rPr>
          <w:rFonts w:hint="eastAsia" w:ascii="宋体" w:hAnsi="宋体" w:eastAsia="方正仿宋_GBK" w:cs="方正仿宋_GBK"/>
          <w:sz w:val="32"/>
          <w:szCs w:val="32"/>
          <w:lang w:val="en-US" w:eastAsia="zh-CN"/>
        </w:rPr>
        <w:t>减少</w:t>
      </w:r>
      <w:r>
        <w:rPr>
          <w:rFonts w:hint="eastAsia" w:ascii="宋体" w:hAnsi="宋体" w:eastAsia="方正仿宋_GBK" w:cs="方正仿宋_GBK"/>
          <w:b w:val="0"/>
          <w:bCs w:val="0"/>
          <w:sz w:val="32"/>
          <w:szCs w:val="32"/>
          <w:lang w:val="en-US" w:eastAsia="zh-CN"/>
        </w:rPr>
        <w:t>。其中：财政拨款收入</w:t>
      </w:r>
      <w:r>
        <w:rPr>
          <w:rFonts w:hint="eastAsia" w:ascii="仿宋_GB2312" w:hAnsi="仿宋" w:eastAsia="仿宋_GB2312" w:cs="Times New Roman"/>
          <w:sz w:val="32"/>
          <w:szCs w:val="32"/>
          <w:lang w:val="en-US" w:eastAsia="zh-CN"/>
        </w:rPr>
        <w:t>3881.01</w:t>
      </w:r>
      <w:r>
        <w:rPr>
          <w:rFonts w:hint="eastAsia" w:ascii="宋体" w:hAnsi="宋体" w:eastAsia="方正仿宋_GBK" w:cs="方正仿宋_GBK"/>
          <w:b w:val="0"/>
          <w:bCs w:val="0"/>
          <w:sz w:val="32"/>
          <w:szCs w:val="32"/>
          <w:lang w:val="en-US" w:eastAsia="zh-CN"/>
        </w:rPr>
        <w:t>万元，占比100%</w:t>
      </w:r>
      <w:r>
        <w:rPr>
          <w:rFonts w:ascii="方正仿宋_GBK" w:hAnsi="方正仿宋_GBK" w:eastAsia="方正仿宋_GBK" w:cs="方正仿宋_GBK"/>
          <w:sz w:val="32"/>
          <w:szCs w:val="32"/>
          <w:shd w:val="clear" w:color="auto" w:fill="FFFFFF"/>
        </w:rPr>
        <w:t>。</w:t>
      </w:r>
    </w:p>
    <w:p w14:paraId="7C710629">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w:t>
      </w:r>
      <w:r>
        <w:rPr>
          <w:rFonts w:hint="eastAsia" w:ascii="仿宋_GB2312" w:hAnsi="仿宋" w:eastAsia="仿宋_GB2312" w:cs="Times New Roman"/>
          <w:sz w:val="32"/>
          <w:szCs w:val="32"/>
          <w:lang w:val="en-US" w:eastAsia="zh-CN"/>
        </w:rPr>
        <w:t>3881.01</w:t>
      </w:r>
      <w:r>
        <w:rPr>
          <w:rFonts w:hint="eastAsia" w:ascii="宋体" w:hAnsi="宋体" w:eastAsia="方正仿宋_GBK" w:cs="方正仿宋_GBK"/>
          <w:b w:val="0"/>
          <w:bCs w:val="0"/>
          <w:sz w:val="32"/>
          <w:szCs w:val="32"/>
          <w:lang w:val="en-US" w:eastAsia="zh-CN"/>
        </w:rPr>
        <w:t>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hint="eastAsia" w:ascii="仿宋_GB2312" w:hAnsi="仿宋" w:eastAsia="仿宋_GB2312" w:cs="Times New Roman"/>
          <w:sz w:val="32"/>
          <w:szCs w:val="32"/>
          <w:lang w:val="en-US" w:eastAsia="zh-CN"/>
        </w:rPr>
        <w:t>减少69.77</w:t>
      </w:r>
      <w:r>
        <w:rPr>
          <w:rFonts w:hint="eastAsia" w:ascii="宋体" w:hAnsi="宋体" w:eastAsia="方正仿宋_GBK" w:cs="方正仿宋_GBK"/>
          <w:sz w:val="32"/>
        </w:rPr>
        <w:t>万元，</w:t>
      </w:r>
      <w:r>
        <w:rPr>
          <w:rFonts w:hint="eastAsia" w:ascii="仿宋_GB2312" w:hAnsi="仿宋" w:eastAsia="仿宋_GB2312" w:cs="Times New Roman"/>
          <w:sz w:val="32"/>
          <w:szCs w:val="32"/>
          <w:lang w:val="en-US" w:eastAsia="zh-CN"/>
        </w:rPr>
        <w:t>减少1.77%</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w:t>
      </w:r>
      <w:r>
        <w:rPr>
          <w:rFonts w:hint="eastAsia" w:ascii="宋体" w:hAnsi="宋体" w:eastAsia="方正仿宋_GBK" w:cs="方正仿宋_GBK"/>
          <w:sz w:val="32"/>
          <w:szCs w:val="32"/>
          <w:lang w:val="en-US" w:eastAsia="zh-CN"/>
        </w:rPr>
        <w:t>基本</w:t>
      </w:r>
      <w:r>
        <w:rPr>
          <w:rFonts w:ascii="宋体" w:hAnsi="宋体" w:eastAsia="方正仿宋_GBK" w:cs="方正仿宋_GBK"/>
          <w:sz w:val="32"/>
          <w:szCs w:val="32"/>
        </w:rPr>
        <w:t>支出</w:t>
      </w:r>
      <w:r>
        <w:rPr>
          <w:rFonts w:hint="eastAsia" w:ascii="宋体" w:hAnsi="宋体" w:eastAsia="方正仿宋_GBK" w:cs="方正仿宋_GBK"/>
          <w:sz w:val="32"/>
          <w:szCs w:val="32"/>
          <w:lang w:val="en-US" w:eastAsia="zh-CN"/>
        </w:rPr>
        <w:t>减少</w:t>
      </w:r>
      <w:r>
        <w:rPr>
          <w:rFonts w:hint="eastAsia" w:ascii="宋体" w:hAnsi="宋体" w:eastAsia="方正仿宋_GBK" w:cs="方正仿宋_GBK"/>
          <w:sz w:val="32"/>
          <w:lang w:val="en-US" w:eastAsia="zh-CN"/>
        </w:rPr>
        <w:t>。</w:t>
      </w:r>
      <w:r>
        <w:rPr>
          <w:rFonts w:hint="eastAsia" w:ascii="宋体" w:hAnsi="宋体" w:eastAsia="方正仿宋_GBK" w:cs="方正仿宋_GBK"/>
          <w:b w:val="0"/>
          <w:bCs w:val="0"/>
          <w:sz w:val="32"/>
          <w:szCs w:val="32"/>
          <w:lang w:val="en-US" w:eastAsia="zh-CN"/>
        </w:rPr>
        <w:t>其中：基本支出3676.67万元，占比94.73%；项目支出204.34万元，占比5.27%。</w:t>
      </w:r>
    </w:p>
    <w:p w14:paraId="35726B2C">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default"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2024年度年末结转和结余0万元，</w:t>
      </w:r>
      <w:r>
        <w:rPr>
          <w:rFonts w:ascii="方正仿宋_GBK" w:hAnsi="方正仿宋_GBK" w:eastAsia="方正仿宋_GBK" w:cs="方正仿宋_GBK"/>
          <w:sz w:val="32"/>
          <w:szCs w:val="32"/>
          <w:shd w:val="clear" w:color="auto" w:fill="FFFFFF"/>
        </w:rPr>
        <w:t>与2023年度相比，无增减</w:t>
      </w:r>
      <w:r>
        <w:rPr>
          <w:rFonts w:hint="eastAsia" w:ascii="宋体" w:hAnsi="宋体" w:eastAsia="方正仿宋_GBK" w:cs="方正仿宋_GBK"/>
          <w:b w:val="0"/>
          <w:bCs w:val="0"/>
          <w:sz w:val="32"/>
          <w:szCs w:val="32"/>
          <w:lang w:val="en-US" w:eastAsia="zh-CN"/>
        </w:rPr>
        <w:t>。</w:t>
      </w:r>
    </w:p>
    <w:p w14:paraId="3800499A">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69414AD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w:t>
      </w:r>
      <w:r>
        <w:rPr>
          <w:rFonts w:hint="eastAsia" w:ascii="仿宋_GB2312" w:hAnsi="仿宋" w:eastAsia="仿宋_GB2312" w:cs="Times New Roman"/>
          <w:sz w:val="32"/>
          <w:szCs w:val="32"/>
          <w:lang w:val="en-US" w:eastAsia="zh-CN"/>
        </w:rPr>
        <w:t>3881.01</w:t>
      </w:r>
      <w:r>
        <w:rPr>
          <w:rFonts w:hint="eastAsia" w:ascii="宋体" w:hAnsi="宋体" w:eastAsia="方正仿宋_GBK" w:cs="方正仿宋_GBK"/>
          <w:sz w:val="32"/>
          <w:lang w:val="en-US" w:eastAsia="zh-CN"/>
        </w:rPr>
        <w:t>万元，支出总计</w:t>
      </w:r>
      <w:r>
        <w:rPr>
          <w:rFonts w:hint="eastAsia" w:ascii="仿宋_GB2312" w:hAnsi="仿宋" w:eastAsia="仿宋_GB2312" w:cs="Times New Roman"/>
          <w:sz w:val="32"/>
          <w:szCs w:val="32"/>
          <w:lang w:val="en-US" w:eastAsia="zh-CN"/>
        </w:rPr>
        <w:t>3881.01</w:t>
      </w:r>
      <w:r>
        <w:rPr>
          <w:rFonts w:hint="eastAsia" w:ascii="宋体" w:hAnsi="宋体" w:eastAsia="方正仿宋_GBK" w:cs="方正仿宋_GBK"/>
          <w:sz w:val="32"/>
          <w:lang w:val="en-US" w:eastAsia="zh-CN"/>
        </w:rPr>
        <w:t>万元。</w:t>
      </w:r>
      <w:r>
        <w:rPr>
          <w:rFonts w:hint="eastAsia" w:ascii="宋体" w:hAnsi="宋体" w:eastAsia="方正仿宋_GBK" w:cs="方正仿宋_GBK"/>
          <w:sz w:val="32"/>
        </w:rPr>
        <w:t>收支较上年</w:t>
      </w:r>
      <w:r>
        <w:rPr>
          <w:rFonts w:hint="eastAsia" w:ascii="仿宋_GB2312" w:hAnsi="仿宋" w:eastAsia="仿宋_GB2312" w:cs="Times New Roman"/>
          <w:sz w:val="32"/>
          <w:szCs w:val="32"/>
          <w:lang w:val="en-US" w:eastAsia="zh-CN"/>
        </w:rPr>
        <w:t>减少69.77</w:t>
      </w:r>
      <w:r>
        <w:rPr>
          <w:rFonts w:hint="eastAsia" w:ascii="宋体" w:hAnsi="宋体" w:eastAsia="方正仿宋_GBK" w:cs="方正仿宋_GBK"/>
          <w:sz w:val="32"/>
        </w:rPr>
        <w:t>万元，</w:t>
      </w:r>
      <w:r>
        <w:rPr>
          <w:rFonts w:hint="eastAsia" w:ascii="仿宋_GB2312" w:hAnsi="仿宋" w:eastAsia="仿宋_GB2312" w:cs="Times New Roman"/>
          <w:sz w:val="32"/>
          <w:szCs w:val="32"/>
          <w:lang w:val="en-US" w:eastAsia="zh-CN"/>
        </w:rPr>
        <w:t>减少1.77%</w:t>
      </w:r>
      <w:r>
        <w:rPr>
          <w:rFonts w:hint="eastAsia" w:ascii="宋体" w:hAnsi="宋体" w:eastAsia="方正仿宋_GBK" w:cs="方正仿宋_GBK"/>
          <w:sz w:val="32"/>
          <w:lang w:val="en-US" w:eastAsia="zh-CN"/>
        </w:rPr>
        <w:t>，</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w:t>
      </w:r>
      <w:r>
        <w:rPr>
          <w:rFonts w:hint="eastAsia" w:ascii="仿宋_GB2312" w:hAnsi="仿宋" w:eastAsia="仿宋_GB2312" w:cs="Times New Roman"/>
          <w:sz w:val="32"/>
          <w:szCs w:val="32"/>
          <w:highlight w:val="none"/>
          <w:lang w:val="en-US" w:eastAsia="zh-CN"/>
        </w:rPr>
        <w:t>人员</w:t>
      </w:r>
      <w:r>
        <w:rPr>
          <w:rFonts w:hint="eastAsia" w:ascii="宋体" w:hAnsi="宋体" w:eastAsia="方正仿宋_GBK" w:cs="方正仿宋_GBK"/>
          <w:sz w:val="32"/>
          <w:szCs w:val="32"/>
        </w:rPr>
        <w:t>收入</w:t>
      </w:r>
      <w:r>
        <w:rPr>
          <w:rFonts w:hint="eastAsia" w:ascii="宋体" w:hAnsi="宋体" w:eastAsia="方正仿宋_GBK" w:cs="方正仿宋_GBK"/>
          <w:sz w:val="32"/>
          <w:szCs w:val="32"/>
          <w:lang w:val="en-US" w:eastAsia="zh-CN"/>
        </w:rPr>
        <w:t>减少</w:t>
      </w:r>
      <w:r>
        <w:rPr>
          <w:rFonts w:ascii="宋体" w:hAnsi="宋体" w:eastAsia="方正仿宋_GBK" w:cs="方正仿宋_GBK"/>
          <w:sz w:val="32"/>
          <w:szCs w:val="32"/>
        </w:rPr>
        <w:t>，</w:t>
      </w:r>
      <w:r>
        <w:rPr>
          <w:rFonts w:hint="eastAsia" w:ascii="宋体" w:hAnsi="宋体" w:eastAsia="方正仿宋_GBK" w:cs="方正仿宋_GBK"/>
          <w:sz w:val="32"/>
          <w:szCs w:val="32"/>
          <w:lang w:val="en-US" w:eastAsia="zh-CN"/>
        </w:rPr>
        <w:t>基本</w:t>
      </w:r>
      <w:r>
        <w:rPr>
          <w:rFonts w:ascii="宋体" w:hAnsi="宋体" w:eastAsia="方正仿宋_GBK" w:cs="方正仿宋_GBK"/>
          <w:sz w:val="32"/>
          <w:szCs w:val="32"/>
        </w:rPr>
        <w:t>支出</w:t>
      </w:r>
      <w:r>
        <w:rPr>
          <w:rFonts w:hint="eastAsia" w:ascii="宋体" w:hAnsi="宋体" w:eastAsia="方正仿宋_GBK" w:cs="方正仿宋_GBK"/>
          <w:sz w:val="32"/>
          <w:szCs w:val="32"/>
          <w:lang w:val="en-US" w:eastAsia="zh-CN"/>
        </w:rPr>
        <w:t>减少</w:t>
      </w:r>
      <w:r>
        <w:rPr>
          <w:rFonts w:hint="eastAsia" w:ascii="宋体" w:hAnsi="宋体" w:eastAsia="方正仿宋_GBK" w:cs="方正仿宋_GBK"/>
          <w:sz w:val="32"/>
          <w:lang w:val="en-US" w:eastAsia="zh-CN"/>
        </w:rPr>
        <w:t>。</w:t>
      </w:r>
    </w:p>
    <w:p w14:paraId="77BE6399">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3B7F62BC">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仿宋_GB2312" w:hAnsi="仿宋" w:eastAsia="仿宋_GB2312" w:cs="Times New Roman"/>
          <w:sz w:val="32"/>
          <w:szCs w:val="32"/>
          <w:lang w:val="en-US" w:eastAsia="zh-CN"/>
        </w:rPr>
        <w:t>3881.01</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w:t>
      </w:r>
      <w:r>
        <w:rPr>
          <w:rFonts w:hint="eastAsia" w:ascii="仿宋_GB2312" w:hAnsi="仿宋" w:eastAsia="仿宋_GB2312" w:cs="Times New Roman"/>
          <w:sz w:val="32"/>
          <w:szCs w:val="32"/>
          <w:lang w:val="en-US" w:eastAsia="zh-CN"/>
        </w:rPr>
        <w:t>减少69.77</w:t>
      </w:r>
      <w:r>
        <w:rPr>
          <w:rFonts w:hint="eastAsia" w:ascii="宋体" w:hAnsi="宋体" w:eastAsia="方正仿宋_GBK" w:cs="方正仿宋_GBK"/>
          <w:sz w:val="32"/>
        </w:rPr>
        <w:t>万元，</w:t>
      </w:r>
      <w:r>
        <w:rPr>
          <w:rFonts w:hint="eastAsia" w:ascii="仿宋_GB2312" w:hAnsi="仿宋" w:eastAsia="仿宋_GB2312" w:cs="Times New Roman"/>
          <w:sz w:val="32"/>
          <w:szCs w:val="32"/>
          <w:lang w:val="en-US" w:eastAsia="zh-CN"/>
        </w:rPr>
        <w:t>减少1.77%</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仿宋_GB2312" w:hAnsi="仿宋" w:eastAsia="仿宋_GB2312" w:cs="Times New Roman"/>
          <w:sz w:val="32"/>
          <w:szCs w:val="32"/>
          <w:highlight w:val="none"/>
          <w:lang w:val="en-US" w:eastAsia="zh-CN"/>
        </w:rPr>
        <w:t>人员</w:t>
      </w:r>
      <w:r>
        <w:rPr>
          <w:rFonts w:hint="eastAsia" w:ascii="宋体" w:hAnsi="宋体" w:eastAsia="方正仿宋_GBK" w:cs="方正仿宋_GBK"/>
          <w:sz w:val="32"/>
          <w:szCs w:val="32"/>
        </w:rPr>
        <w:t>收入</w:t>
      </w:r>
      <w:r>
        <w:rPr>
          <w:rFonts w:hint="eastAsia" w:ascii="宋体" w:hAnsi="宋体" w:eastAsia="方正仿宋_GBK" w:cs="方正仿宋_GBK"/>
          <w:sz w:val="32"/>
          <w:szCs w:val="32"/>
          <w:lang w:val="en-US" w:eastAsia="zh-CN"/>
        </w:rPr>
        <w:t>减少</w:t>
      </w:r>
      <w:r>
        <w:rPr>
          <w:rFonts w:hint="eastAsia" w:ascii="宋体" w:hAnsi="宋体" w:eastAsia="方正仿宋_GBK" w:cs="方正仿宋_GBK"/>
          <w:color w:val="auto"/>
          <w:sz w:val="32"/>
          <w:lang w:val="en-US" w:eastAsia="zh-CN"/>
        </w:rPr>
        <w:t>。较年初预算数增加</w:t>
      </w:r>
      <w:r>
        <w:rPr>
          <w:rFonts w:hint="eastAsia" w:ascii="仿宋_GB2312" w:hAnsi="仿宋" w:eastAsia="仿宋_GB2312" w:cs="Times New Roman"/>
          <w:sz w:val="32"/>
          <w:szCs w:val="32"/>
          <w:lang w:val="en-US" w:eastAsia="zh-CN"/>
        </w:rPr>
        <w:t>72.77</w:t>
      </w:r>
      <w:r>
        <w:rPr>
          <w:rFonts w:hint="eastAsia" w:ascii="宋体" w:hAnsi="宋体" w:eastAsia="方正仿宋_GBK" w:cs="方正仿宋_GBK"/>
          <w:color w:val="auto"/>
          <w:sz w:val="32"/>
          <w:lang w:val="en-US" w:eastAsia="zh-CN"/>
        </w:rPr>
        <w:t>万元，增长</w:t>
      </w:r>
      <w:r>
        <w:rPr>
          <w:rFonts w:hint="eastAsia" w:ascii="仿宋_GB2312" w:hAnsi="仿宋" w:eastAsia="仿宋_GB2312" w:cs="Times New Roman"/>
          <w:sz w:val="32"/>
          <w:szCs w:val="32"/>
          <w:lang w:val="en-US" w:eastAsia="zh-CN"/>
        </w:rPr>
        <w:t>1.91%</w:t>
      </w:r>
      <w:r>
        <w:rPr>
          <w:rFonts w:hint="eastAsia" w:ascii="宋体" w:hAnsi="宋体" w:eastAsia="方正仿宋_GBK" w:cs="方正仿宋_GBK"/>
          <w:color w:val="auto"/>
          <w:sz w:val="32"/>
          <w:lang w:val="en-US" w:eastAsia="zh-CN"/>
        </w:rPr>
        <w:t>，主要原因是社会保障和就业支出</w:t>
      </w:r>
      <w:r>
        <w:rPr>
          <w:rFonts w:hint="eastAsia" w:ascii="宋体" w:hAnsi="宋体" w:eastAsia="方正仿宋_GBK" w:cs="方正仿宋_GBK"/>
          <w:color w:val="auto"/>
          <w:sz w:val="32"/>
        </w:rPr>
        <w:t>拨款收入</w:t>
      </w:r>
      <w:r>
        <w:rPr>
          <w:rFonts w:hint="eastAsia" w:ascii="宋体" w:hAnsi="宋体" w:eastAsia="方正仿宋_GBK" w:cs="方正仿宋_GBK"/>
          <w:color w:val="auto"/>
          <w:sz w:val="32"/>
          <w:lang w:val="en-US" w:eastAsia="zh-CN"/>
        </w:rPr>
        <w:t>增加。</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550F020E">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w:t>
      </w:r>
      <w:r>
        <w:rPr>
          <w:rFonts w:hint="eastAsia" w:ascii="仿宋_GB2312" w:hAnsi="仿宋" w:eastAsia="仿宋_GB2312" w:cs="Times New Roman"/>
          <w:sz w:val="32"/>
          <w:szCs w:val="32"/>
          <w:lang w:val="en-US" w:eastAsia="zh-CN"/>
        </w:rPr>
        <w:t>3881.01</w:t>
      </w:r>
      <w:r>
        <w:rPr>
          <w:rFonts w:hint="eastAsia" w:ascii="宋体" w:hAnsi="宋体" w:eastAsia="方正仿宋_GBK" w:cs="方正仿宋_GBK"/>
          <w:color w:val="auto"/>
          <w:sz w:val="32"/>
          <w:lang w:val="en-US" w:eastAsia="zh-CN"/>
        </w:rPr>
        <w:t>万元，</w:t>
      </w:r>
      <w:r>
        <w:rPr>
          <w:rFonts w:hint="eastAsia" w:ascii="宋体" w:hAnsi="宋体" w:eastAsia="方正仿宋_GBK" w:cs="方正仿宋_GBK"/>
          <w:color w:val="auto"/>
          <w:sz w:val="32"/>
        </w:rPr>
        <w:t>较上年决算数</w:t>
      </w:r>
      <w:r>
        <w:rPr>
          <w:rFonts w:hint="eastAsia" w:ascii="仿宋_GB2312" w:hAnsi="仿宋" w:eastAsia="仿宋_GB2312" w:cs="Times New Roman"/>
          <w:sz w:val="32"/>
          <w:szCs w:val="32"/>
          <w:lang w:val="en-US" w:eastAsia="zh-CN"/>
        </w:rPr>
        <w:t>减少69.77</w:t>
      </w:r>
      <w:r>
        <w:rPr>
          <w:rFonts w:hint="eastAsia" w:ascii="宋体" w:hAnsi="宋体" w:eastAsia="方正仿宋_GBK" w:cs="方正仿宋_GBK"/>
          <w:sz w:val="32"/>
        </w:rPr>
        <w:t>万元，</w:t>
      </w:r>
      <w:r>
        <w:rPr>
          <w:rFonts w:hint="eastAsia" w:ascii="仿宋_GB2312" w:hAnsi="仿宋" w:eastAsia="仿宋_GB2312" w:cs="Times New Roman"/>
          <w:sz w:val="32"/>
          <w:szCs w:val="32"/>
          <w:lang w:val="en-US" w:eastAsia="zh-CN"/>
        </w:rPr>
        <w:t>减少1.77%</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主要原因是</w:t>
      </w:r>
      <w:r>
        <w:rPr>
          <w:rFonts w:hint="eastAsia" w:ascii="宋体" w:hAnsi="宋体" w:eastAsia="方正仿宋_GBK" w:cs="方正仿宋_GBK"/>
          <w:sz w:val="32"/>
          <w:szCs w:val="32"/>
          <w:lang w:val="en-US" w:eastAsia="zh-CN"/>
        </w:rPr>
        <w:t>基本</w:t>
      </w:r>
      <w:r>
        <w:rPr>
          <w:rFonts w:ascii="宋体" w:hAnsi="宋体" w:eastAsia="方正仿宋_GBK" w:cs="方正仿宋_GBK"/>
          <w:sz w:val="32"/>
          <w:szCs w:val="32"/>
        </w:rPr>
        <w:t>支出</w:t>
      </w:r>
      <w:r>
        <w:rPr>
          <w:rFonts w:hint="eastAsia" w:ascii="宋体" w:hAnsi="宋体" w:eastAsia="方正仿宋_GBK" w:cs="方正仿宋_GBK"/>
          <w:sz w:val="32"/>
          <w:szCs w:val="32"/>
          <w:lang w:val="en-US" w:eastAsia="zh-CN"/>
        </w:rPr>
        <w:t>减少</w:t>
      </w:r>
      <w:r>
        <w:rPr>
          <w:rFonts w:hint="eastAsia" w:ascii="宋体" w:hAnsi="宋体" w:eastAsia="方正仿宋_GBK" w:cs="方正仿宋_GBK"/>
          <w:color w:val="auto"/>
          <w:sz w:val="32"/>
          <w:lang w:val="en-US" w:eastAsia="zh-CN"/>
        </w:rPr>
        <w:t>。较年初预算数增加</w:t>
      </w:r>
      <w:r>
        <w:rPr>
          <w:rFonts w:hint="eastAsia" w:ascii="仿宋_GB2312" w:hAnsi="仿宋" w:eastAsia="仿宋_GB2312" w:cs="Times New Roman"/>
          <w:sz w:val="32"/>
          <w:szCs w:val="32"/>
          <w:lang w:val="en-US" w:eastAsia="zh-CN"/>
        </w:rPr>
        <w:t>72.77</w:t>
      </w:r>
      <w:r>
        <w:rPr>
          <w:rFonts w:hint="eastAsia" w:ascii="宋体" w:hAnsi="宋体" w:eastAsia="方正仿宋_GBK" w:cs="方正仿宋_GBK"/>
          <w:color w:val="auto"/>
          <w:sz w:val="32"/>
          <w:lang w:val="en-US" w:eastAsia="zh-CN"/>
        </w:rPr>
        <w:t>万元，增长</w:t>
      </w:r>
      <w:r>
        <w:rPr>
          <w:rFonts w:hint="eastAsia" w:ascii="仿宋_GB2312" w:hAnsi="仿宋" w:eastAsia="仿宋_GB2312" w:cs="Times New Roman"/>
          <w:sz w:val="32"/>
          <w:szCs w:val="32"/>
          <w:lang w:val="en-US" w:eastAsia="zh-CN"/>
        </w:rPr>
        <w:t>1.91%</w:t>
      </w:r>
      <w:r>
        <w:rPr>
          <w:rFonts w:hint="eastAsia" w:ascii="宋体" w:hAnsi="宋体" w:eastAsia="方正仿宋_GBK" w:cs="方正仿宋_GBK"/>
          <w:color w:val="auto"/>
          <w:sz w:val="32"/>
          <w:lang w:val="en-US" w:eastAsia="zh-CN"/>
        </w:rPr>
        <w:t>，主要原因是社会保障和就业支出增加。</w:t>
      </w:r>
    </w:p>
    <w:p w14:paraId="577A7466">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val="en-US" w:eastAsia="zh-CN"/>
        </w:rPr>
        <w:t>。</w:t>
      </w:r>
    </w:p>
    <w:p w14:paraId="00104D94">
      <w:pPr>
        <w:pStyle w:val="6"/>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14:paraId="58EBBECE">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教育支出</w:t>
      </w:r>
      <w:r>
        <w:rPr>
          <w:rFonts w:hint="eastAsia" w:ascii="仿宋_GB2312" w:hAnsi="仿宋" w:eastAsia="仿宋_GB2312" w:cs="Times New Roman"/>
          <w:sz w:val="32"/>
          <w:szCs w:val="32"/>
          <w:lang w:val="en-US" w:eastAsia="zh-CN"/>
        </w:rPr>
        <w:t>4.02</w:t>
      </w:r>
      <w:r>
        <w:rPr>
          <w:rFonts w:hint="eastAsia" w:ascii="宋体" w:hAnsi="宋体" w:eastAsia="方正仿宋_GBK" w:cs="方正仿宋_GBK"/>
          <w:color w:val="auto"/>
          <w:sz w:val="32"/>
          <w:lang w:val="en-US" w:eastAsia="zh-CN"/>
        </w:rPr>
        <w:t>万元，占比0.10%。较年初预算数</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lang w:val="en-US" w:eastAsia="zh-CN"/>
        </w:rPr>
        <w:t>11.48万元，减少74.06％</w:t>
      </w:r>
      <w:r>
        <w:rPr>
          <w:rFonts w:hint="eastAsia" w:ascii="宋体" w:hAnsi="宋体" w:eastAsia="方正仿宋_GBK" w:cs="方正仿宋_GBK"/>
          <w:color w:val="auto"/>
          <w:sz w:val="32"/>
          <w:lang w:val="en-US" w:eastAsia="zh-CN"/>
        </w:rPr>
        <w:t>，主要原因是</w:t>
      </w:r>
      <w:r>
        <w:rPr>
          <w:rFonts w:hint="eastAsia" w:ascii="方正仿宋_GBK" w:eastAsia="方正仿宋_GBK"/>
          <w:sz w:val="32"/>
          <w:szCs w:val="32"/>
        </w:rPr>
        <w:t>培训支出减少</w:t>
      </w:r>
      <w:r>
        <w:rPr>
          <w:rFonts w:hint="eastAsia" w:ascii="宋体" w:hAnsi="宋体" w:eastAsia="方正仿宋_GBK" w:cs="方正仿宋_GBK"/>
          <w:color w:val="auto"/>
          <w:sz w:val="32"/>
          <w:lang w:val="en-US" w:eastAsia="zh-CN"/>
        </w:rPr>
        <w:t>。</w:t>
      </w:r>
    </w:p>
    <w:p w14:paraId="2C6FBB00">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方正仿宋_GBK" w:eastAsia="方正仿宋_GBK"/>
          <w:sz w:val="32"/>
          <w:szCs w:val="32"/>
        </w:rPr>
        <w:t>社会保障与就业支出</w:t>
      </w:r>
      <w:r>
        <w:rPr>
          <w:rFonts w:hint="eastAsia" w:ascii="仿宋_GB2312" w:hAnsi="仿宋" w:eastAsia="仿宋_GB2312" w:cs="Times New Roman"/>
          <w:sz w:val="32"/>
          <w:szCs w:val="32"/>
          <w:lang w:val="en-US" w:eastAsia="zh-CN"/>
        </w:rPr>
        <w:t>1263.18</w:t>
      </w:r>
      <w:r>
        <w:rPr>
          <w:rFonts w:hint="eastAsia" w:ascii="宋体" w:hAnsi="宋体" w:eastAsia="方正仿宋_GBK" w:cs="方正仿宋_GBK"/>
          <w:color w:val="auto"/>
          <w:sz w:val="32"/>
          <w:lang w:val="en-US" w:eastAsia="zh-CN"/>
        </w:rPr>
        <w:t>万元，占比32.55%。较年初预算数</w:t>
      </w:r>
      <w:r>
        <w:rPr>
          <w:rFonts w:hint="eastAsia" w:ascii="仿宋_GB2312" w:hAnsi="仿宋" w:eastAsia="仿宋_GB2312" w:cs="Times New Roman"/>
          <w:sz w:val="32"/>
          <w:szCs w:val="32"/>
          <w:lang w:eastAsia="zh-CN"/>
        </w:rPr>
        <w:t>增加</w:t>
      </w:r>
      <w:r>
        <w:rPr>
          <w:rFonts w:hint="eastAsia" w:ascii="仿宋_GB2312" w:hAnsi="仿宋" w:eastAsia="仿宋_GB2312" w:cs="Times New Roman"/>
          <w:sz w:val="32"/>
          <w:szCs w:val="32"/>
          <w:highlight w:val="none"/>
          <w:lang w:val="en-US" w:eastAsia="zh-CN"/>
        </w:rPr>
        <w:t>153.45</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增加</w:t>
      </w:r>
      <w:r>
        <w:rPr>
          <w:rFonts w:hint="eastAsia" w:ascii="仿宋_GB2312" w:hAnsi="仿宋" w:eastAsia="仿宋_GB2312" w:cs="Times New Roman"/>
          <w:sz w:val="32"/>
          <w:szCs w:val="32"/>
          <w:highlight w:val="none"/>
          <w:lang w:val="en-US" w:eastAsia="zh-CN"/>
        </w:rPr>
        <w:t>13.82</w:t>
      </w:r>
      <w:r>
        <w:rPr>
          <w:rFonts w:hint="eastAsia" w:ascii="仿宋_GB2312" w:hAnsi="仿宋" w:eastAsia="仿宋_GB2312" w:cs="Times New Roman"/>
          <w:sz w:val="32"/>
          <w:szCs w:val="32"/>
          <w:highlight w:val="none"/>
        </w:rPr>
        <w:t>%</w:t>
      </w:r>
      <w:r>
        <w:rPr>
          <w:rFonts w:hint="eastAsia" w:ascii="宋体" w:hAnsi="宋体" w:eastAsia="方正仿宋_GBK" w:cs="方正仿宋_GBK"/>
          <w:color w:val="auto"/>
          <w:sz w:val="32"/>
          <w:lang w:val="en-US" w:eastAsia="zh-CN"/>
        </w:rPr>
        <w:t>，主要原因是</w:t>
      </w:r>
      <w:r>
        <w:rPr>
          <w:rFonts w:hint="eastAsia" w:ascii="宋体" w:hAnsi="宋体" w:eastAsia="方正仿宋_GBK" w:cs="方正仿宋_GBK"/>
          <w:sz w:val="32"/>
        </w:rPr>
        <w:t>社会保障缴费支出</w:t>
      </w:r>
      <w:r>
        <w:rPr>
          <w:rFonts w:hint="eastAsia" w:ascii="宋体" w:hAnsi="宋体" w:eastAsia="方正仿宋_GBK" w:cs="方正仿宋_GBK"/>
          <w:sz w:val="32"/>
          <w:lang w:val="en-US" w:eastAsia="zh-CN"/>
        </w:rPr>
        <w:t>增加</w:t>
      </w:r>
      <w:r>
        <w:rPr>
          <w:rFonts w:hint="eastAsia" w:ascii="宋体" w:hAnsi="宋体" w:eastAsia="方正仿宋_GBK" w:cs="方正仿宋_GBK"/>
          <w:color w:val="auto"/>
          <w:sz w:val="32"/>
          <w:lang w:val="en-US" w:eastAsia="zh-CN"/>
        </w:rPr>
        <w:t>。</w:t>
      </w:r>
    </w:p>
    <w:p w14:paraId="34AF6D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w:t>
      </w:r>
      <w:r>
        <w:rPr>
          <w:rFonts w:hint="eastAsia" w:ascii="方正仿宋_GBK" w:eastAsia="方正仿宋_GBK"/>
          <w:sz w:val="32"/>
          <w:szCs w:val="32"/>
        </w:rPr>
        <w:t>卫生健康支出</w:t>
      </w:r>
      <w:r>
        <w:rPr>
          <w:rFonts w:hint="eastAsia" w:ascii="仿宋_GB2312" w:hAnsi="仿宋" w:eastAsia="仿宋_GB2312" w:cs="Times New Roman"/>
          <w:sz w:val="32"/>
          <w:szCs w:val="32"/>
          <w:lang w:val="en-US" w:eastAsia="zh-CN"/>
        </w:rPr>
        <w:t>234.31</w:t>
      </w:r>
      <w:r>
        <w:rPr>
          <w:rFonts w:hint="eastAsia" w:ascii="宋体" w:hAnsi="宋体" w:eastAsia="方正仿宋_GBK" w:cs="方正仿宋_GBK"/>
          <w:color w:val="auto"/>
          <w:sz w:val="32"/>
          <w:lang w:val="en-US" w:eastAsia="zh-CN"/>
        </w:rPr>
        <w:t>万元，占比6.04%。较年初预算数</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highlight w:val="none"/>
          <w:lang w:val="en-US" w:eastAsia="zh-CN"/>
        </w:rPr>
        <w:t>12.59</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highlight w:val="none"/>
          <w:lang w:val="en-US" w:eastAsia="zh-CN"/>
        </w:rPr>
        <w:t>5.10</w:t>
      </w:r>
      <w:r>
        <w:rPr>
          <w:rFonts w:hint="eastAsia" w:ascii="仿宋_GB2312" w:hAnsi="仿宋" w:eastAsia="仿宋_GB2312" w:cs="Times New Roman"/>
          <w:sz w:val="32"/>
          <w:szCs w:val="32"/>
        </w:rPr>
        <w:t>%</w:t>
      </w:r>
      <w:r>
        <w:rPr>
          <w:rFonts w:hint="eastAsia" w:ascii="宋体" w:hAnsi="宋体" w:eastAsia="方正仿宋_GBK" w:cs="方正仿宋_GBK"/>
          <w:color w:val="auto"/>
          <w:sz w:val="32"/>
          <w:lang w:val="en-US" w:eastAsia="zh-CN"/>
        </w:rPr>
        <w:t>，主要原因是</w:t>
      </w:r>
      <w:r>
        <w:rPr>
          <w:rFonts w:hint="eastAsia" w:ascii="宋体" w:hAnsi="宋体" w:eastAsia="方正仿宋_GBK" w:cs="方正仿宋_GBK"/>
          <w:sz w:val="32"/>
        </w:rPr>
        <w:t>医疗支出减少</w:t>
      </w:r>
      <w:r>
        <w:rPr>
          <w:rFonts w:hint="eastAsia" w:ascii="宋体" w:hAnsi="宋体" w:eastAsia="方正仿宋_GBK" w:cs="方正仿宋_GBK"/>
          <w:color w:val="auto"/>
          <w:sz w:val="32"/>
          <w:lang w:val="en-US" w:eastAsia="zh-CN"/>
        </w:rPr>
        <w:t>。</w:t>
      </w:r>
    </w:p>
    <w:p w14:paraId="77DB7EA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（4）</w:t>
      </w:r>
      <w:r>
        <w:rPr>
          <w:rFonts w:hint="eastAsia" w:ascii="方正仿宋_GBK" w:eastAsia="方正仿宋_GBK"/>
          <w:sz w:val="32"/>
          <w:szCs w:val="32"/>
        </w:rPr>
        <w:t>交通运输支出</w:t>
      </w:r>
      <w:r>
        <w:rPr>
          <w:rFonts w:hint="eastAsia" w:ascii="仿宋_GB2312" w:hAnsi="仿宋" w:eastAsia="仿宋_GB2312" w:cs="Times New Roman"/>
          <w:sz w:val="32"/>
          <w:szCs w:val="32"/>
          <w:highlight w:val="none"/>
          <w:lang w:val="en-US" w:eastAsia="zh-CN"/>
        </w:rPr>
        <w:t>2258.75</w:t>
      </w:r>
      <w:r>
        <w:rPr>
          <w:rFonts w:hint="eastAsia" w:ascii="宋体" w:hAnsi="宋体" w:eastAsia="方正仿宋_GBK" w:cs="方正仿宋_GBK"/>
          <w:color w:val="auto"/>
          <w:sz w:val="32"/>
          <w:lang w:val="en-US" w:eastAsia="zh-CN"/>
        </w:rPr>
        <w:t>万元，占比58.20%。较年初预算数</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highlight w:val="none"/>
          <w:lang w:val="en-US" w:eastAsia="zh-CN"/>
        </w:rPr>
        <w:t>56.61</w:t>
      </w:r>
      <w:r>
        <w:rPr>
          <w:rFonts w:hint="eastAsia" w:ascii="仿宋_GB2312" w:hAnsi="仿宋" w:eastAsia="仿宋_GB2312" w:cs="Times New Roman"/>
          <w:sz w:val="32"/>
          <w:szCs w:val="32"/>
          <w:lang w:eastAsia="zh-CN"/>
        </w:rPr>
        <w:t>万元，减少</w:t>
      </w:r>
      <w:r>
        <w:rPr>
          <w:rFonts w:hint="eastAsia" w:ascii="仿宋_GB2312" w:hAnsi="仿宋" w:eastAsia="仿宋_GB2312" w:cs="Times New Roman"/>
          <w:sz w:val="32"/>
          <w:szCs w:val="32"/>
          <w:highlight w:val="none"/>
          <w:lang w:val="en-US" w:eastAsia="zh-CN"/>
        </w:rPr>
        <w:t>2.44</w:t>
      </w:r>
      <w:r>
        <w:rPr>
          <w:rFonts w:hint="eastAsia" w:ascii="仿宋_GB2312" w:hAnsi="仿宋" w:eastAsia="仿宋_GB2312" w:cs="Times New Roman"/>
          <w:sz w:val="32"/>
          <w:szCs w:val="32"/>
          <w:lang w:eastAsia="zh-CN"/>
        </w:rPr>
        <w:t>%</w:t>
      </w:r>
      <w:r>
        <w:rPr>
          <w:rFonts w:hint="eastAsia" w:ascii="宋体" w:hAnsi="宋体" w:eastAsia="方正仿宋_GBK" w:cs="方正仿宋_GBK"/>
          <w:color w:val="auto"/>
          <w:sz w:val="32"/>
          <w:lang w:val="en-US" w:eastAsia="zh-CN"/>
        </w:rPr>
        <w:t>，主要原因是</w:t>
      </w:r>
      <w:r>
        <w:rPr>
          <w:rFonts w:hint="eastAsia" w:ascii="方正仿宋_GBK" w:eastAsia="方正仿宋_GBK"/>
          <w:sz w:val="32"/>
          <w:szCs w:val="32"/>
        </w:rPr>
        <w:t>项目支出减少</w:t>
      </w:r>
      <w:r>
        <w:rPr>
          <w:rFonts w:hint="eastAsia" w:ascii="宋体" w:hAnsi="宋体" w:eastAsia="方正仿宋_GBK" w:cs="方正仿宋_GBK"/>
          <w:color w:val="auto"/>
          <w:sz w:val="32"/>
          <w:lang w:val="en-US" w:eastAsia="zh-CN"/>
        </w:rPr>
        <w:t>。</w:t>
      </w:r>
    </w:p>
    <w:p w14:paraId="7DEAED4D">
      <w:pPr>
        <w:pStyle w:val="17"/>
        <w:tabs>
          <w:tab w:val="center" w:pos="4153"/>
          <w:tab w:val="left" w:pos="7275"/>
        </w:tabs>
        <w:spacing w:line="600" w:lineRule="exact"/>
        <w:ind w:firstLine="640"/>
        <w:jc w:val="left"/>
        <w:rPr>
          <w:rFonts w:hint="eastAsia" w:ascii="宋体" w:hAnsi="宋体" w:eastAsia="方正仿宋_GBK" w:cs="方正仿宋_GBK"/>
          <w:color w:val="auto"/>
          <w:sz w:val="32"/>
          <w:lang w:val="en-US" w:eastAsia="zh-CN"/>
        </w:rPr>
      </w:pPr>
      <w:r>
        <w:rPr>
          <w:rFonts w:hint="eastAsia" w:ascii="方正仿宋_GBK" w:eastAsia="方正仿宋_GBK"/>
          <w:sz w:val="32"/>
          <w:szCs w:val="32"/>
        </w:rPr>
        <w:t>（5）住房保障支出</w:t>
      </w:r>
      <w:r>
        <w:rPr>
          <w:rFonts w:hint="eastAsia" w:ascii="仿宋_GB2312" w:hAnsi="仿宋" w:eastAsia="仿宋_GB2312" w:cs="Times New Roman"/>
          <w:kern w:val="0"/>
          <w:sz w:val="32"/>
          <w:szCs w:val="32"/>
          <w:highlight w:val="none"/>
          <w:lang w:val="en-US" w:eastAsia="zh-CN" w:bidi="ar"/>
        </w:rPr>
        <w:t>120.56</w:t>
      </w:r>
      <w:r>
        <w:rPr>
          <w:rFonts w:hint="eastAsia" w:ascii="方正仿宋_GBK" w:eastAsia="方正仿宋_GBK"/>
          <w:sz w:val="32"/>
          <w:szCs w:val="32"/>
        </w:rPr>
        <w:t>万元，占</w:t>
      </w:r>
      <w:r>
        <w:rPr>
          <w:rFonts w:hint="eastAsia" w:ascii="仿宋_GB2312" w:hAnsi="仿宋" w:eastAsia="仿宋_GB2312" w:cs="Times New Roman"/>
          <w:kern w:val="0"/>
          <w:sz w:val="32"/>
          <w:szCs w:val="32"/>
          <w:highlight w:val="none"/>
          <w:lang w:val="en-US" w:eastAsia="zh-CN" w:bidi="ar"/>
        </w:rPr>
        <w:t>3.11</w:t>
      </w:r>
      <w:r>
        <w:rPr>
          <w:rFonts w:hint="eastAsia" w:ascii="方正仿宋_GBK" w:eastAsia="方正仿宋_GBK"/>
          <w:sz w:val="32"/>
          <w:szCs w:val="32"/>
        </w:rPr>
        <w:t>%，与年初预算持平。</w:t>
      </w:r>
    </w:p>
    <w:p w14:paraId="0B5124AF">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5"/>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7CD9E73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2024年度一般公共预算财政拨款基本支出3676.67万元。其中：人员经费3263.5万元，较上年决算数减少139.91万元，减少4.11%，主要原因是人员支出减少。</w:t>
      </w:r>
      <w:r>
        <w:rPr>
          <w:rFonts w:hint="eastAsia" w:ascii="方正仿宋_GBK" w:eastAsia="方正仿宋_GBK"/>
          <w:sz w:val="32"/>
          <w:szCs w:val="32"/>
        </w:rPr>
        <w:t>人员经费用途主要包括基本工资、津贴补贴、奖金、社会保障缴费等</w:t>
      </w:r>
      <w:r>
        <w:rPr>
          <w:rFonts w:hint="eastAsia" w:ascii="宋体" w:hAnsi="宋体" w:eastAsia="方正仿宋_GBK" w:cs="方正仿宋_GBK"/>
          <w:color w:val="auto"/>
          <w:sz w:val="32"/>
          <w:lang w:val="en-US" w:eastAsia="zh-CN"/>
        </w:rPr>
        <w:t>。公用经费413.17万元，较上年决算数减少1.55万元，减少0.37%，主要原因是</w:t>
      </w:r>
      <w:r>
        <w:rPr>
          <w:rFonts w:hint="eastAsia" w:ascii="宋体" w:hAnsi="宋体" w:eastAsia="方正仿宋_GBK" w:cs="方正仿宋_GBK"/>
          <w:sz w:val="32"/>
        </w:rPr>
        <w:t>厉行节约，公用经费支出减少</w:t>
      </w:r>
      <w:r>
        <w:rPr>
          <w:rFonts w:hint="eastAsia" w:ascii="宋体" w:hAnsi="宋体" w:eastAsia="方正仿宋_GBK" w:cs="方正仿宋_GBK"/>
          <w:color w:val="auto"/>
          <w:sz w:val="32"/>
          <w:lang w:val="en-US" w:eastAsia="zh-CN"/>
        </w:rPr>
        <w:t>。</w:t>
      </w:r>
      <w:r>
        <w:rPr>
          <w:rFonts w:hint="eastAsia" w:ascii="宋体" w:hAnsi="宋体" w:eastAsia="方正仿宋_GBK" w:cs="方正仿宋_GBK"/>
          <w:sz w:val="32"/>
        </w:rPr>
        <w:t>公用经费用途主要包括</w:t>
      </w:r>
      <w:r>
        <w:rPr>
          <w:rFonts w:hint="eastAsia" w:ascii="方正仿宋_GBK" w:eastAsia="方正仿宋_GBK"/>
          <w:color w:val="auto"/>
          <w:sz w:val="32"/>
          <w:szCs w:val="32"/>
        </w:rPr>
        <w:t>办公费、印刷费、水费、电费、邮电费、差旅费、维修（护）费、公务接待费、劳务费等</w:t>
      </w:r>
      <w:r>
        <w:rPr>
          <w:rFonts w:hint="eastAsia" w:ascii="宋体" w:hAnsi="宋体" w:eastAsia="方正仿宋_GBK" w:cs="方正仿宋_GBK"/>
          <w:color w:val="auto"/>
          <w:sz w:val="32"/>
          <w:lang w:val="en-US" w:eastAsia="zh-CN"/>
        </w:rPr>
        <w:t>，</w:t>
      </w:r>
    </w:p>
    <w:p w14:paraId="3FEBF1F1">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0C74F7D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14:paraId="342CEEC5">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525E4A7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69344EBC">
      <w:pPr>
        <w:pStyle w:val="11"/>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5"/>
          <w:rFonts w:hint="eastAsia" w:ascii="宋体" w:hAnsi="宋体" w:eastAsia="方正黑体_GBK" w:cs="方正黑体_GBK"/>
          <w:b w:val="0"/>
          <w:sz w:val="32"/>
          <w:szCs w:val="32"/>
          <w:shd w:val="clear" w:color="auto" w:fill="FFFFFF"/>
        </w:rPr>
      </w:pPr>
      <w:r>
        <w:rPr>
          <w:rStyle w:val="15"/>
          <w:rFonts w:hint="eastAsia" w:ascii="宋体" w:hAnsi="宋体" w:eastAsia="方正黑体_GBK" w:cs="方正黑体_GBK"/>
          <w:b w:val="0"/>
          <w:sz w:val="32"/>
          <w:szCs w:val="32"/>
          <w:shd w:val="clear" w:color="auto" w:fill="FFFFFF"/>
          <w:lang w:val="en-US" w:eastAsia="zh-CN"/>
        </w:rPr>
        <w:t>三、</w:t>
      </w:r>
      <w:r>
        <w:rPr>
          <w:rStyle w:val="15"/>
          <w:rFonts w:hint="eastAsia" w:ascii="宋体" w:hAnsi="宋体" w:eastAsia="方正黑体_GBK" w:cs="方正黑体_GBK"/>
          <w:b w:val="0"/>
          <w:sz w:val="32"/>
          <w:szCs w:val="32"/>
          <w:shd w:val="clear" w:color="auto" w:fill="FFFFFF"/>
        </w:rPr>
        <w:t>“三公”经费情况</w:t>
      </w:r>
    </w:p>
    <w:p w14:paraId="1EEF9045">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（一）“三公”经费支出总体情况</w:t>
      </w:r>
    </w:p>
    <w:p w14:paraId="7F3E3FE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2024年度“三公”经费支出共计39.33万元，较年初预算数减少0.17万元，下降0.43%，主要原因是</w:t>
      </w:r>
      <w:r>
        <w:rPr>
          <w:rFonts w:hint="eastAsia" w:ascii="宋体" w:hAnsi="宋体" w:eastAsia="方正仿宋_GBK" w:cs="方正仿宋_GBK"/>
          <w:sz w:val="32"/>
        </w:rPr>
        <w:t>严格控制“三公”经费支出</w:t>
      </w:r>
      <w:r>
        <w:rPr>
          <w:rFonts w:hint="eastAsia" w:ascii="宋体" w:hAnsi="宋体" w:eastAsia="方正仿宋_GBK" w:cs="方正仿宋_GBK"/>
          <w:color w:val="auto"/>
          <w:sz w:val="32"/>
          <w:lang w:val="en-US" w:eastAsia="zh-CN"/>
        </w:rPr>
        <w:t>。较上年支出数减少7.01万元，减少</w:t>
      </w:r>
      <w:r>
        <w:rPr>
          <w:rFonts w:hint="eastAsia" w:ascii="仿宋_GB2312" w:hAnsi="仿宋" w:eastAsia="仿宋_GB2312" w:cs="Times New Roman"/>
          <w:sz w:val="32"/>
          <w:szCs w:val="32"/>
          <w:highlight w:val="none"/>
          <w:lang w:val="en-US" w:eastAsia="zh-CN"/>
        </w:rPr>
        <w:t>15.13</w:t>
      </w:r>
      <w:r>
        <w:rPr>
          <w:rFonts w:hint="eastAsia" w:ascii="宋体" w:hAnsi="宋体" w:eastAsia="方正仿宋_GBK" w:cs="方正仿宋_GBK"/>
          <w:color w:val="auto"/>
          <w:sz w:val="32"/>
          <w:lang w:val="en-US" w:eastAsia="zh-CN"/>
        </w:rPr>
        <w:t>%，主要原因是</w:t>
      </w:r>
      <w:r>
        <w:rPr>
          <w:rFonts w:hint="eastAsia" w:ascii="宋体" w:hAnsi="宋体" w:eastAsia="方正仿宋_GBK" w:cs="方正仿宋_GBK"/>
          <w:sz w:val="32"/>
        </w:rPr>
        <w:t>严格控制“三公”经费支出</w:t>
      </w:r>
      <w:r>
        <w:rPr>
          <w:rFonts w:hint="eastAsia" w:ascii="宋体" w:hAnsi="宋体" w:eastAsia="方正仿宋_GBK" w:cs="方正仿宋_GBK"/>
          <w:color w:val="auto"/>
          <w:sz w:val="32"/>
          <w:lang w:val="en-US" w:eastAsia="zh-CN"/>
        </w:rPr>
        <w:t>。</w:t>
      </w:r>
    </w:p>
    <w:p w14:paraId="77425B2F">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（二）“三公”经费分项支出情况</w:t>
      </w:r>
    </w:p>
    <w:p w14:paraId="494454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kern w:val="0"/>
          <w:sz w:val="32"/>
          <w:lang w:bidi="ar"/>
        </w:rPr>
      </w:pPr>
      <w:r>
        <w:rPr>
          <w:rStyle w:val="15"/>
          <w:rFonts w:hint="eastAsia" w:ascii="宋体" w:hAnsi="宋体" w:eastAsia="方正楷体_GBK" w:cs="方正楷体_GBK"/>
          <w:b w:val="0"/>
          <w:bCs/>
          <w:sz w:val="32"/>
          <w:szCs w:val="32"/>
          <w:shd w:val="clear" w:color="auto" w:fill="FFFFFF"/>
        </w:rPr>
        <w:t>1.</w:t>
      </w:r>
      <w:r>
        <w:rPr>
          <w:rFonts w:ascii="宋体" w:hAnsi="宋体" w:eastAsia="方正仿宋_GBK" w:cs="方正仿宋_GBK"/>
          <w:kern w:val="0"/>
          <w:sz w:val="32"/>
          <w:lang w:bidi="ar"/>
        </w:rPr>
        <w:t>202</w:t>
      </w:r>
      <w:r>
        <w:rPr>
          <w:rFonts w:hint="eastAsia" w:ascii="宋体" w:hAnsi="宋体" w:eastAsia="方正仿宋_GBK" w:cs="方正仿宋_GBK"/>
          <w:kern w:val="0"/>
          <w:sz w:val="32"/>
          <w:lang w:val="en-US" w:eastAsia="zh-CN" w:bidi="ar"/>
        </w:rPr>
        <w:t>4</w:t>
      </w:r>
      <w:r>
        <w:rPr>
          <w:rFonts w:ascii="宋体" w:hAnsi="宋体" w:eastAsia="方正仿宋_GBK" w:cs="方正仿宋_GBK"/>
          <w:kern w:val="0"/>
          <w:sz w:val="32"/>
          <w:lang w:bidi="ar"/>
        </w:rPr>
        <w:t>年度本</w:t>
      </w:r>
      <w:r>
        <w:rPr>
          <w:rFonts w:hint="eastAsia" w:ascii="宋体" w:hAnsi="宋体" w:eastAsia="方正仿宋_GBK" w:cs="方正仿宋_GBK"/>
          <w:kern w:val="0"/>
          <w:sz w:val="32"/>
          <w:lang w:bidi="ar"/>
        </w:rPr>
        <w:t>部门</w:t>
      </w:r>
      <w:r>
        <w:rPr>
          <w:rFonts w:ascii="宋体" w:hAnsi="宋体" w:eastAsia="方正仿宋_GBK" w:cs="方正仿宋_GBK"/>
          <w:kern w:val="0"/>
          <w:sz w:val="32"/>
          <w:lang w:bidi="ar"/>
        </w:rPr>
        <w:t>未发生因公出国（境）费用。与上年度</w:t>
      </w:r>
      <w:r>
        <w:rPr>
          <w:rFonts w:hint="eastAsia" w:ascii="宋体" w:hAnsi="宋体" w:eastAsia="方正仿宋_GBK" w:cs="方正仿宋_GBK"/>
          <w:kern w:val="0"/>
          <w:sz w:val="32"/>
          <w:lang w:bidi="ar"/>
        </w:rPr>
        <w:t>支出数一致。</w:t>
      </w:r>
    </w:p>
    <w:p w14:paraId="07960B80">
      <w:pPr>
        <w:widowControl/>
        <w:autoSpaceDE w:val="0"/>
        <w:spacing w:line="579" w:lineRule="exact"/>
        <w:ind w:firstLine="640" w:firstLineChars="200"/>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lang w:bidi="ar"/>
        </w:rPr>
        <w:t>2.</w:t>
      </w:r>
      <w:r>
        <w:rPr>
          <w:rFonts w:ascii="宋体" w:hAnsi="宋体" w:eastAsia="方正仿宋_GBK" w:cs="方正仿宋_GBK"/>
          <w:kern w:val="0"/>
          <w:sz w:val="32"/>
          <w:lang w:bidi="ar"/>
        </w:rPr>
        <w:t>202</w:t>
      </w:r>
      <w:r>
        <w:rPr>
          <w:rFonts w:hint="eastAsia" w:ascii="宋体" w:hAnsi="宋体" w:eastAsia="方正仿宋_GBK" w:cs="方正仿宋_GBK"/>
          <w:kern w:val="0"/>
          <w:sz w:val="32"/>
          <w:lang w:val="en-US" w:eastAsia="zh-CN" w:bidi="ar"/>
        </w:rPr>
        <w:t>4</w:t>
      </w:r>
      <w:r>
        <w:rPr>
          <w:rFonts w:ascii="宋体" w:hAnsi="宋体" w:eastAsia="方正仿宋_GBK" w:cs="方正仿宋_GBK"/>
          <w:kern w:val="0"/>
          <w:sz w:val="32"/>
          <w:lang w:bidi="ar"/>
        </w:rPr>
        <w:t>年度本</w:t>
      </w:r>
      <w:r>
        <w:rPr>
          <w:rFonts w:hint="eastAsia" w:ascii="宋体" w:hAnsi="宋体" w:eastAsia="方正仿宋_GBK" w:cs="方正仿宋_GBK"/>
          <w:kern w:val="0"/>
          <w:sz w:val="32"/>
          <w:lang w:bidi="ar"/>
        </w:rPr>
        <w:t>部门</w:t>
      </w:r>
      <w:r>
        <w:rPr>
          <w:rFonts w:ascii="宋体" w:hAnsi="宋体" w:eastAsia="方正仿宋_GBK" w:cs="方正仿宋_GBK"/>
          <w:kern w:val="0"/>
          <w:sz w:val="32"/>
          <w:lang w:bidi="ar"/>
        </w:rPr>
        <w:t>未发生公务车购置费。与上年度支出数</w:t>
      </w:r>
      <w:r>
        <w:rPr>
          <w:rFonts w:hint="eastAsia" w:ascii="宋体" w:hAnsi="宋体" w:eastAsia="方正仿宋_GBK" w:cs="方正仿宋_GBK"/>
          <w:kern w:val="0"/>
          <w:sz w:val="32"/>
          <w:lang w:bidi="ar"/>
        </w:rPr>
        <w:t>一致。</w:t>
      </w:r>
    </w:p>
    <w:p w14:paraId="7A370061">
      <w:pPr>
        <w:pStyle w:val="6"/>
        <w:widowControl/>
        <w:spacing w:before="0" w:beforeAutospacing="0" w:after="0" w:afterAutospacing="0" w:line="579" w:lineRule="exact"/>
        <w:ind w:firstLine="640" w:firstLineChars="200"/>
        <w:jc w:val="both"/>
        <w:rPr>
          <w:rFonts w:hint="eastAsia" w:ascii="宋体" w:hAnsi="宋体" w:eastAsia="方正仿宋_GBK" w:cs="方正仿宋_GBK"/>
          <w:sz w:val="32"/>
        </w:rPr>
      </w:pPr>
      <w:r>
        <w:rPr>
          <w:rFonts w:hint="eastAsia" w:ascii="宋体" w:hAnsi="宋体" w:eastAsia="方正仿宋_GBK" w:cs="方正仿宋_GBK"/>
          <w:color w:val="auto"/>
          <w:sz w:val="32"/>
          <w:lang w:val="en-US" w:eastAsia="zh-CN"/>
        </w:rPr>
        <w:t>公务车运行维护费38.93万元，主要用于</w:t>
      </w:r>
      <w:r>
        <w:rPr>
          <w:rFonts w:hint="eastAsia" w:ascii="方正仿宋_GBK" w:eastAsia="方正仿宋_GBK"/>
          <w:sz w:val="32"/>
          <w:szCs w:val="32"/>
        </w:rPr>
        <w:t>用于机要的文件资料交换、区内外因公出行、公路养护日常巡查、相关业务检查等工作所需车辆的燃料费、维修费、过路过桥费、保险费等</w:t>
      </w:r>
      <w:r>
        <w:rPr>
          <w:rFonts w:hint="eastAsia" w:ascii="宋体" w:hAnsi="宋体" w:eastAsia="方正仿宋_GBK" w:cs="方正仿宋_GBK"/>
          <w:sz w:val="32"/>
        </w:rPr>
        <w:t>支出</w:t>
      </w:r>
      <w:r>
        <w:rPr>
          <w:rFonts w:hint="eastAsia" w:ascii="宋体" w:hAnsi="宋体" w:eastAsia="方正仿宋_GBK" w:cs="方正仿宋_GBK"/>
          <w:color w:val="auto"/>
          <w:sz w:val="32"/>
          <w:lang w:val="en-US" w:eastAsia="zh-CN"/>
        </w:rPr>
        <w:t>。费用支出较年初预算数减少0.07万元，较上年支出数减少7.24万元，减少15.68%，主要原因是</w:t>
      </w:r>
      <w:r>
        <w:rPr>
          <w:rFonts w:hint="eastAsia" w:eastAsia="方正仿宋_GBK"/>
          <w:sz w:val="32"/>
          <w:szCs w:val="32"/>
        </w:rPr>
        <w:t>严格落实公务用车使用规定</w:t>
      </w:r>
      <w:r>
        <w:rPr>
          <w:rFonts w:hint="eastAsia" w:ascii="宋体" w:hAnsi="宋体" w:eastAsia="方正仿宋_GBK" w:cs="方正仿宋_GBK"/>
          <w:sz w:val="32"/>
        </w:rPr>
        <w:t>。</w:t>
      </w:r>
    </w:p>
    <w:p w14:paraId="43C386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公务接待费0.40万元，主要用于</w:t>
      </w:r>
      <w:r>
        <w:rPr>
          <w:rFonts w:ascii="方正仿宋_GBK" w:hAnsi="方正仿宋_GBK" w:eastAsia="方正仿宋_GBK" w:cs="方正仿宋_GBK"/>
          <w:sz w:val="31"/>
          <w:szCs w:val="31"/>
          <w:shd w:val="clear" w:color="auto" w:fill="FFFFFF"/>
        </w:rPr>
        <w:t>接待</w:t>
      </w:r>
      <w:r>
        <w:rPr>
          <w:rFonts w:hint="eastAsia" w:ascii="方正仿宋_GBK" w:hAnsi="方正仿宋_GBK" w:eastAsia="方正仿宋_GBK" w:cs="方正仿宋_GBK"/>
          <w:sz w:val="31"/>
          <w:szCs w:val="31"/>
          <w:shd w:val="clear" w:color="auto" w:fill="FFFFFF"/>
        </w:rPr>
        <w:t>其他区县单位到我单位学习调研、接受相关部门检查指导工作发生的接待支出</w:t>
      </w:r>
      <w:r>
        <w:rPr>
          <w:rFonts w:hint="eastAsia" w:ascii="宋体" w:hAnsi="宋体" w:eastAsia="方正仿宋_GBK" w:cs="方正仿宋_GBK"/>
          <w:color w:val="auto"/>
          <w:sz w:val="32"/>
          <w:lang w:val="en-US" w:eastAsia="zh-CN"/>
        </w:rPr>
        <w:t>。费用支出较年初预算数减少0.09万元，较上年支出数增加0.23万元，增长135.29%，主要原因是</w:t>
      </w:r>
      <w:r>
        <w:rPr>
          <w:rFonts w:hint="eastAsia" w:ascii="仿宋_GB2312" w:hAnsi="仿宋" w:eastAsia="仿宋_GB2312" w:cs="仿宋"/>
          <w:color w:val="000000"/>
          <w:sz w:val="32"/>
          <w:szCs w:val="32"/>
          <w:lang w:eastAsia="zh-CN"/>
        </w:rPr>
        <w:t>其</w:t>
      </w:r>
      <w:r>
        <w:rPr>
          <w:rFonts w:hint="eastAsia" w:ascii="仿宋_GB2312" w:hAnsi="仿宋" w:eastAsia="仿宋_GB2312" w:cs="仿宋"/>
          <w:color w:val="000000"/>
          <w:sz w:val="32"/>
          <w:szCs w:val="32"/>
          <w:lang w:val="en-US" w:eastAsia="zh-CN"/>
        </w:rPr>
        <w:t>他区县单位来津进行公路养护技术经验交流</w:t>
      </w:r>
      <w:r>
        <w:rPr>
          <w:rFonts w:hint="eastAsia" w:ascii="宋体" w:hAnsi="宋体" w:eastAsia="方正仿宋_GBK" w:cs="方正仿宋_GBK"/>
          <w:color w:val="auto"/>
          <w:sz w:val="32"/>
          <w:lang w:val="en-US" w:eastAsia="zh-CN"/>
        </w:rPr>
        <w:t>。</w:t>
      </w:r>
    </w:p>
    <w:p w14:paraId="25712A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5"/>
          <w:rFonts w:hint="eastAsia" w:ascii="宋体" w:hAnsi="宋体" w:eastAsia="方正楷体_GBK" w:cs="方正楷体_GBK"/>
          <w:b w:val="0"/>
          <w:bCs/>
          <w:kern w:val="2"/>
          <w:sz w:val="32"/>
          <w:szCs w:val="32"/>
          <w:shd w:val="clear" w:color="auto" w:fill="FFFFFF"/>
          <w:lang w:val="en-US" w:eastAsia="zh-CN" w:bidi="ar-SA"/>
        </w:rPr>
        <w:t>（三）“三公”经费实物量情况</w:t>
      </w:r>
    </w:p>
    <w:p w14:paraId="49E523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0个团组，0人；公务用车购置0辆，公务车保有量为13辆；国内公务接待3批次45人，其中：国内外事接待3批次，45人；国（境）外公务接待0批次，0人。人均接待费88.89元，车均购置费0万元，车均维护费2.99万元。</w:t>
      </w:r>
    </w:p>
    <w:p w14:paraId="0BD101AC">
      <w:pPr>
        <w:pStyle w:val="11"/>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5"/>
          <w:rFonts w:hint="eastAsia" w:ascii="宋体" w:hAnsi="宋体" w:eastAsia="方正黑体_GBK" w:cs="方正黑体_GBK"/>
          <w:b w:val="0"/>
          <w:sz w:val="32"/>
          <w:szCs w:val="32"/>
          <w:shd w:val="clear" w:color="auto" w:fill="FFFFFF"/>
        </w:rPr>
      </w:pPr>
      <w:r>
        <w:rPr>
          <w:rStyle w:val="15"/>
          <w:rFonts w:hint="eastAsia" w:ascii="宋体" w:hAnsi="宋体" w:eastAsia="方正黑体_GBK" w:cs="方正黑体_GBK"/>
          <w:b w:val="0"/>
          <w:sz w:val="32"/>
          <w:szCs w:val="32"/>
          <w:shd w:val="clear" w:color="auto" w:fill="FFFFFF"/>
          <w:lang w:val="en-US" w:eastAsia="zh-CN"/>
        </w:rPr>
        <w:t>四、</w:t>
      </w:r>
      <w:r>
        <w:rPr>
          <w:rStyle w:val="15"/>
          <w:rFonts w:hint="eastAsia" w:ascii="宋体" w:hAnsi="宋体" w:eastAsia="方正黑体_GBK" w:cs="方正黑体_GBK"/>
          <w:b w:val="0"/>
          <w:sz w:val="32"/>
          <w:szCs w:val="32"/>
          <w:shd w:val="clear" w:color="auto" w:fill="FFFFFF"/>
        </w:rPr>
        <w:t>其他需要说明的事项</w:t>
      </w:r>
    </w:p>
    <w:p w14:paraId="3CDACF2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default"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（一）财政拨款会议费和培训费情</w:t>
      </w:r>
      <w:bookmarkStart w:id="0" w:name="_GoBack"/>
      <w:bookmarkEnd w:id="0"/>
      <w:r>
        <w:rPr>
          <w:rStyle w:val="15"/>
          <w:rFonts w:hint="eastAsia" w:ascii="宋体" w:hAnsi="宋体" w:eastAsia="方正楷体_GBK" w:cs="方正楷体_GBK"/>
          <w:b w:val="0"/>
          <w:bCs/>
          <w:kern w:val="2"/>
          <w:sz w:val="32"/>
          <w:szCs w:val="32"/>
          <w:shd w:val="clear" w:color="auto" w:fill="FFFFFF"/>
          <w:lang w:val="en-US" w:eastAsia="zh-CN" w:bidi="ar-SA"/>
        </w:rPr>
        <w:t>况</w:t>
      </w:r>
    </w:p>
    <w:p w14:paraId="133E9F3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2024年度会议费支出0万元，较上年无变化，主要原因是持续落实党政机关过紧日子要求，精简会议。</w:t>
      </w:r>
    </w:p>
    <w:p w14:paraId="045B5D8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2024年度培训费支出4.02万元，与2023年度相比，减少9.38万元，下降70.02%，主要原因是持续落实党政机关过紧日子要求，减少培训支出。</w:t>
      </w:r>
    </w:p>
    <w:p w14:paraId="7EEE62F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default"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（二）机关运行经费情况</w:t>
      </w:r>
    </w:p>
    <w:p w14:paraId="48F80856">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shd w:val="clear" w:color="auto" w:fill="FFFFFF"/>
          <w:lang w:val="en-US" w:eastAsia="zh-CN" w:bidi="ar"/>
        </w:rPr>
        <w:t>按照部门决算列报口径，我单位不在机关运行经费统计范围之内。</w:t>
      </w:r>
    </w:p>
    <w:p w14:paraId="5BA16C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106653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13</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13</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辆。其他用车主要是用于</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台（套）。</w:t>
      </w:r>
    </w:p>
    <w:p w14:paraId="5903E9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（四）政府采购支出说明</w:t>
      </w:r>
    </w:p>
    <w:p w14:paraId="780338F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仿宋_GB2312" w:hAnsi="仿宋" w:eastAsia="仿宋_GB2312" w:cs="Times New Roman"/>
          <w:kern w:val="2"/>
          <w:sz w:val="32"/>
          <w:szCs w:val="32"/>
          <w:lang w:val="en-US" w:eastAsia="zh-CN"/>
        </w:rPr>
        <w:t>145.50</w:t>
      </w:r>
      <w:r>
        <w:rPr>
          <w:rFonts w:hint="eastAsia" w:ascii="宋体" w:hAnsi="宋体" w:eastAsia="方正仿宋_GBK" w:cs="方正仿宋_GBK"/>
          <w:kern w:val="0"/>
          <w:sz w:val="32"/>
          <w:szCs w:val="32"/>
        </w:rPr>
        <w:t>万元，其中：政府采购货物支出</w:t>
      </w:r>
      <w:r>
        <w:rPr>
          <w:rFonts w:hint="eastAsia" w:ascii="仿宋_GB2312" w:hAnsi="仿宋" w:eastAsia="仿宋_GB2312" w:cs="Times New Roman"/>
          <w:kern w:val="2"/>
          <w:sz w:val="32"/>
          <w:szCs w:val="32"/>
          <w:lang w:val="en-US" w:eastAsia="zh-CN"/>
        </w:rPr>
        <w:t>4.86</w:t>
      </w:r>
      <w:r>
        <w:rPr>
          <w:rFonts w:hint="eastAsia" w:ascii="宋体" w:hAnsi="宋体" w:eastAsia="方正仿宋_GBK" w:cs="方正仿宋_GBK"/>
          <w:kern w:val="0"/>
          <w:sz w:val="32"/>
          <w:szCs w:val="32"/>
        </w:rPr>
        <w:t>万元、政府采购工程支出</w:t>
      </w:r>
      <w:r>
        <w:rPr>
          <w:rFonts w:hint="eastAsia" w:ascii="仿宋_GB2312" w:hAnsi="仿宋" w:eastAsia="仿宋_GB2312" w:cs="Times New Roman"/>
          <w:kern w:val="2"/>
          <w:sz w:val="32"/>
          <w:szCs w:val="32"/>
          <w:lang w:val="en-US" w:eastAsia="zh-CN"/>
        </w:rPr>
        <w:t>140.64</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万元。授予中小企业合同金额</w:t>
      </w:r>
      <w:r>
        <w:rPr>
          <w:rFonts w:hint="eastAsia" w:ascii="仿宋_GB2312" w:hAnsi="仿宋" w:eastAsia="仿宋_GB2312" w:cs="Times New Roman"/>
          <w:kern w:val="2"/>
          <w:sz w:val="32"/>
          <w:szCs w:val="32"/>
          <w:lang w:val="en-US" w:eastAsia="zh-CN"/>
        </w:rPr>
        <w:t>145.50</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%，其中：授予小微企业合同金额</w:t>
      </w:r>
      <w:r>
        <w:rPr>
          <w:rFonts w:hint="eastAsia" w:ascii="仿宋_GB2312" w:hAnsi="仿宋" w:eastAsia="仿宋_GB2312" w:cs="Times New Roman"/>
          <w:kern w:val="2"/>
          <w:sz w:val="32"/>
          <w:szCs w:val="32"/>
          <w:lang w:val="en-US" w:eastAsia="zh-CN"/>
        </w:rPr>
        <w:t>145.50</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w:t>
      </w:r>
      <w:r>
        <w:rPr>
          <w:rFonts w:hint="default" w:ascii="仿宋_GB2312" w:hAnsi="仿宋" w:eastAsia="仿宋_GB2312" w:cs="Times New Roman"/>
          <w:kern w:val="2"/>
          <w:sz w:val="32"/>
          <w:szCs w:val="32"/>
        </w:rPr>
        <w:t>采购办公类货物、工程等</w:t>
      </w:r>
      <w:r>
        <w:rPr>
          <w:rFonts w:hint="eastAsia" w:ascii="宋体" w:hAnsi="宋体" w:eastAsia="方正仿宋_GBK" w:cs="方正仿宋_GBK"/>
          <w:color w:val="auto"/>
          <w:sz w:val="32"/>
          <w:lang w:val="en-US" w:eastAsia="zh-CN"/>
        </w:rPr>
        <w:t>。</w:t>
      </w:r>
    </w:p>
    <w:p w14:paraId="447120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9"/>
          <w:rFonts w:hint="eastAsia" w:ascii="宋体" w:hAnsi="宋体" w:eastAsia="方正黑体_GBK" w:cs="方正黑体_GBK"/>
          <w:b w:val="0"/>
          <w:bCs/>
          <w:sz w:val="32"/>
          <w:szCs w:val="32"/>
          <w:shd w:val="clear" w:color="auto" w:fill="FFFFFF"/>
        </w:rPr>
        <w:t>五、预算绩效管理情况</w:t>
      </w:r>
    </w:p>
    <w:p w14:paraId="1B057F5D">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5"/>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14:paraId="679EB02D">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w:t>
      </w:r>
      <w:r>
        <w:rPr>
          <w:rFonts w:hint="eastAsia" w:ascii="宋体" w:hAnsi="宋体" w:eastAsia="方正仿宋_GBK" w:cs="方正仿宋_GBK"/>
          <w:kern w:val="0"/>
          <w:sz w:val="32"/>
          <w:szCs w:val="32"/>
          <w:lang w:val="en-US" w:eastAsia="zh-CN"/>
        </w:rPr>
        <w:t>单位对4</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204.33</w:t>
      </w:r>
      <w:r>
        <w:rPr>
          <w:rFonts w:hint="eastAsia" w:ascii="宋体" w:hAnsi="宋体" w:eastAsia="方正仿宋_GBK" w:cs="方正仿宋_GBK"/>
          <w:kern w:val="0"/>
          <w:sz w:val="32"/>
          <w:szCs w:val="32"/>
        </w:rPr>
        <w:t>万元；以委托第三方形式开展绩效自评</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14:paraId="113B38DB">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（二）绩效自评结果</w:t>
      </w:r>
    </w:p>
    <w:p w14:paraId="27A03A15">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color w:val="000000"/>
          <w:kern w:val="0"/>
          <w:sz w:val="36"/>
          <w:szCs w:val="36"/>
          <w:lang w:val="en-US" w:eastAsia="zh-CN"/>
        </w:rPr>
      </w:pPr>
      <w:r>
        <w:rPr>
          <w:rFonts w:hint="eastAsia" w:ascii="宋体" w:hAnsi="宋体" w:eastAsia="方正仿宋_GBK" w:cs="方正仿宋_GBK"/>
          <w:b/>
          <w:bCs/>
          <w:color w:val="auto"/>
          <w:sz w:val="32"/>
          <w:lang w:val="en-US" w:eastAsia="zh-CN"/>
        </w:rPr>
        <w:t>1. 绩效目标自评表</w:t>
      </w:r>
    </w:p>
    <w:p w14:paraId="7294F06A">
      <w:pPr>
        <w:pStyle w:val="10"/>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7"/>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14:paraId="17DE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5D5B8BDC">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w:t>
            </w:r>
          </w:p>
          <w:p w14:paraId="3EE28162">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名称</w:t>
            </w:r>
          </w:p>
        </w:tc>
        <w:tc>
          <w:tcPr>
            <w:tcW w:w="3701" w:type="dxa"/>
            <w:gridSpan w:val="6"/>
            <w:tcBorders>
              <w:tl2br w:val="nil"/>
              <w:tr2bl w:val="nil"/>
            </w:tcBorders>
            <w:noWrap w:val="0"/>
            <w:vAlign w:val="center"/>
          </w:tcPr>
          <w:p w14:paraId="3DA27B54">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公路恢复及运行维护(公路附属设施维修维护）</w:t>
            </w:r>
          </w:p>
        </w:tc>
        <w:tc>
          <w:tcPr>
            <w:tcW w:w="1236" w:type="dxa"/>
            <w:gridSpan w:val="2"/>
            <w:tcBorders>
              <w:tl2br w:val="nil"/>
              <w:tr2bl w:val="nil"/>
            </w:tcBorders>
            <w:noWrap w:val="0"/>
            <w:vAlign w:val="center"/>
          </w:tcPr>
          <w:p w14:paraId="7B15C0E0">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自评</w:t>
            </w:r>
          </w:p>
          <w:p w14:paraId="43B77203">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总分</w:t>
            </w:r>
          </w:p>
          <w:p w14:paraId="5E4A9304">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（分）</w:t>
            </w:r>
          </w:p>
        </w:tc>
        <w:tc>
          <w:tcPr>
            <w:tcW w:w="4348" w:type="dxa"/>
            <w:gridSpan w:val="5"/>
            <w:tcBorders>
              <w:tl2br w:val="nil"/>
              <w:tr2bl w:val="nil"/>
            </w:tcBorders>
            <w:noWrap w:val="0"/>
            <w:vAlign w:val="center"/>
          </w:tcPr>
          <w:p w14:paraId="490339F7">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100</w:t>
            </w:r>
          </w:p>
        </w:tc>
      </w:tr>
      <w:tr w14:paraId="5273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1DCFE8B2">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项目</w:t>
            </w:r>
            <w:r>
              <w:rPr>
                <w:rFonts w:hint="eastAsia" w:ascii="方正仿宋_GBK" w:hAnsi="方正仿宋_GBK" w:eastAsia="方正仿宋_GBK" w:cs="方正仿宋_GBK"/>
                <w:color w:val="000000"/>
                <w:sz w:val="24"/>
                <w:szCs w:val="24"/>
              </w:rPr>
              <w:t>主管</w:t>
            </w:r>
          </w:p>
          <w:p w14:paraId="5A8E8FA8">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部门</w:t>
            </w:r>
          </w:p>
        </w:tc>
        <w:tc>
          <w:tcPr>
            <w:tcW w:w="1464" w:type="dxa"/>
            <w:gridSpan w:val="2"/>
            <w:tcBorders>
              <w:tl2br w:val="nil"/>
              <w:tr2bl w:val="nil"/>
            </w:tcBorders>
            <w:noWrap w:val="0"/>
            <w:vAlign w:val="center"/>
          </w:tcPr>
          <w:p w14:paraId="00B89C62">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405-重庆市江津区交通运输委员会</w:t>
            </w:r>
          </w:p>
        </w:tc>
        <w:tc>
          <w:tcPr>
            <w:tcW w:w="1075" w:type="dxa"/>
            <w:gridSpan w:val="2"/>
            <w:tcBorders>
              <w:tl2br w:val="nil"/>
              <w:tr2bl w:val="nil"/>
            </w:tcBorders>
            <w:noWrap w:val="0"/>
            <w:vAlign w:val="center"/>
          </w:tcPr>
          <w:p w14:paraId="486C9FE9">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财政归口科室</w:t>
            </w:r>
          </w:p>
        </w:tc>
        <w:tc>
          <w:tcPr>
            <w:tcW w:w="1162" w:type="dxa"/>
            <w:gridSpan w:val="2"/>
            <w:tcBorders>
              <w:tl2br w:val="nil"/>
              <w:tr2bl w:val="nil"/>
            </w:tcBorders>
            <w:noWrap w:val="0"/>
            <w:vAlign w:val="center"/>
          </w:tcPr>
          <w:p w14:paraId="6CF3C473">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004-经济建设科</w:t>
            </w:r>
          </w:p>
        </w:tc>
        <w:tc>
          <w:tcPr>
            <w:tcW w:w="1236" w:type="dxa"/>
            <w:gridSpan w:val="2"/>
            <w:tcBorders>
              <w:tl2br w:val="nil"/>
              <w:tr2bl w:val="nil"/>
            </w:tcBorders>
            <w:noWrap w:val="0"/>
            <w:vAlign w:val="center"/>
          </w:tcPr>
          <w:p w14:paraId="1F2D5A94">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w:t>
            </w:r>
          </w:p>
          <w:p w14:paraId="4A033E26">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联系人</w:t>
            </w:r>
          </w:p>
        </w:tc>
        <w:tc>
          <w:tcPr>
            <w:tcW w:w="1080" w:type="dxa"/>
            <w:tcBorders>
              <w:tl2br w:val="nil"/>
              <w:tr2bl w:val="nil"/>
            </w:tcBorders>
            <w:noWrap w:val="0"/>
            <w:vAlign w:val="center"/>
          </w:tcPr>
          <w:p w14:paraId="7E278DC4">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王牌</w:t>
            </w:r>
          </w:p>
        </w:tc>
        <w:tc>
          <w:tcPr>
            <w:tcW w:w="1092" w:type="dxa"/>
            <w:tcBorders>
              <w:tl2br w:val="nil"/>
              <w:tr2bl w:val="nil"/>
            </w:tcBorders>
            <w:noWrap w:val="0"/>
            <w:vAlign w:val="center"/>
          </w:tcPr>
          <w:p w14:paraId="4D100365">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联系电话</w:t>
            </w:r>
          </w:p>
        </w:tc>
        <w:tc>
          <w:tcPr>
            <w:tcW w:w="2176" w:type="dxa"/>
            <w:gridSpan w:val="3"/>
            <w:tcBorders>
              <w:tl2br w:val="nil"/>
              <w:tr2bl w:val="nil"/>
            </w:tcBorders>
            <w:noWrap w:val="0"/>
            <w:vAlign w:val="center"/>
          </w:tcPr>
          <w:p w14:paraId="508C5E91">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13983261716</w:t>
            </w:r>
          </w:p>
        </w:tc>
      </w:tr>
      <w:tr w14:paraId="39E7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4E7E3465">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项目资金（万元）</w:t>
            </w:r>
          </w:p>
        </w:tc>
        <w:tc>
          <w:tcPr>
            <w:tcW w:w="1464" w:type="dxa"/>
            <w:gridSpan w:val="2"/>
            <w:vMerge w:val="restart"/>
            <w:tcBorders>
              <w:tl2br w:val="nil"/>
              <w:tr2bl w:val="nil"/>
            </w:tcBorders>
            <w:noWrap w:val="0"/>
            <w:vAlign w:val="center"/>
          </w:tcPr>
          <w:p w14:paraId="01792FD2">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年度总金额</w:t>
            </w:r>
          </w:p>
        </w:tc>
        <w:tc>
          <w:tcPr>
            <w:tcW w:w="1075" w:type="dxa"/>
            <w:gridSpan w:val="2"/>
            <w:tcBorders>
              <w:tl2br w:val="nil"/>
              <w:tr2bl w:val="nil"/>
            </w:tcBorders>
            <w:noWrap w:val="0"/>
            <w:vAlign w:val="center"/>
          </w:tcPr>
          <w:p w14:paraId="293E9FA1">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年初</w:t>
            </w:r>
          </w:p>
          <w:p w14:paraId="6A483134">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预算数</w:t>
            </w:r>
          </w:p>
        </w:tc>
        <w:tc>
          <w:tcPr>
            <w:tcW w:w="1162" w:type="dxa"/>
            <w:gridSpan w:val="2"/>
            <w:tcBorders>
              <w:tl2br w:val="nil"/>
              <w:tr2bl w:val="nil"/>
            </w:tcBorders>
            <w:noWrap w:val="0"/>
            <w:vAlign w:val="center"/>
          </w:tcPr>
          <w:p w14:paraId="4D5BDCBF">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全年（调整）预算数</w:t>
            </w:r>
          </w:p>
        </w:tc>
        <w:tc>
          <w:tcPr>
            <w:tcW w:w="2316" w:type="dxa"/>
            <w:gridSpan w:val="3"/>
            <w:tcBorders>
              <w:tl2br w:val="nil"/>
              <w:tr2bl w:val="nil"/>
            </w:tcBorders>
            <w:noWrap w:val="0"/>
            <w:vAlign w:val="center"/>
          </w:tcPr>
          <w:p w14:paraId="28FD4E91">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全年执行数</w:t>
            </w:r>
          </w:p>
        </w:tc>
        <w:tc>
          <w:tcPr>
            <w:tcW w:w="1092" w:type="dxa"/>
            <w:tcBorders>
              <w:tl2br w:val="nil"/>
              <w:tr2bl w:val="nil"/>
            </w:tcBorders>
            <w:noWrap w:val="0"/>
            <w:vAlign w:val="center"/>
          </w:tcPr>
          <w:p w14:paraId="53A29860">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执行率</w:t>
            </w:r>
          </w:p>
          <w:p w14:paraId="6CF3E981">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c>
          <w:tcPr>
            <w:tcW w:w="938" w:type="dxa"/>
            <w:tcBorders>
              <w:tl2br w:val="nil"/>
              <w:tr2bl w:val="nil"/>
            </w:tcBorders>
            <w:noWrap w:val="0"/>
            <w:vAlign w:val="center"/>
          </w:tcPr>
          <w:p w14:paraId="66D5F7AF">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执行率</w:t>
            </w:r>
          </w:p>
          <w:p w14:paraId="679AEE84">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权重</w:t>
            </w:r>
          </w:p>
        </w:tc>
        <w:tc>
          <w:tcPr>
            <w:tcW w:w="1238" w:type="dxa"/>
            <w:gridSpan w:val="2"/>
            <w:tcBorders>
              <w:tl2br w:val="nil"/>
              <w:tr2bl w:val="nil"/>
            </w:tcBorders>
            <w:noWrap w:val="0"/>
            <w:vAlign w:val="center"/>
          </w:tcPr>
          <w:p w14:paraId="738E1CCA">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执行率</w:t>
            </w:r>
          </w:p>
          <w:p w14:paraId="79600166">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得分</w:t>
            </w:r>
          </w:p>
          <w:p w14:paraId="7039F295">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（分）</w:t>
            </w:r>
          </w:p>
        </w:tc>
      </w:tr>
      <w:tr w14:paraId="419F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18F68202">
            <w:pPr>
              <w:snapToGrid w:val="0"/>
              <w:spacing w:line="40" w:lineRule="atLeast"/>
              <w:jc w:val="center"/>
              <w:rPr>
                <w:rFonts w:hint="eastAsia" w:ascii="方正仿宋_GBK" w:hAnsi="方正仿宋_GBK" w:eastAsia="方正仿宋_GBK" w:cs="方正仿宋_GBK"/>
                <w:color w:val="000000"/>
                <w:sz w:val="24"/>
                <w:szCs w:val="24"/>
              </w:rPr>
            </w:pPr>
          </w:p>
        </w:tc>
        <w:tc>
          <w:tcPr>
            <w:tcW w:w="1464" w:type="dxa"/>
            <w:gridSpan w:val="2"/>
            <w:vMerge w:val="continue"/>
            <w:tcBorders>
              <w:tl2br w:val="nil"/>
              <w:tr2bl w:val="nil"/>
            </w:tcBorders>
            <w:noWrap w:val="0"/>
            <w:vAlign w:val="center"/>
          </w:tcPr>
          <w:p w14:paraId="19668C7B">
            <w:pPr>
              <w:snapToGrid w:val="0"/>
              <w:spacing w:line="40" w:lineRule="atLeast"/>
              <w:jc w:val="center"/>
              <w:rPr>
                <w:rFonts w:hint="eastAsia" w:ascii="方正仿宋_GBK" w:hAnsi="方正仿宋_GBK" w:eastAsia="方正仿宋_GBK" w:cs="方正仿宋_GBK"/>
                <w:color w:val="000000"/>
                <w:sz w:val="24"/>
                <w:szCs w:val="24"/>
              </w:rPr>
            </w:pPr>
          </w:p>
        </w:tc>
        <w:tc>
          <w:tcPr>
            <w:tcW w:w="1075" w:type="dxa"/>
            <w:gridSpan w:val="2"/>
            <w:tcBorders>
              <w:tl2br w:val="nil"/>
              <w:tr2bl w:val="nil"/>
            </w:tcBorders>
            <w:shd w:val="clear" w:color="auto" w:fill="auto"/>
            <w:noWrap w:val="0"/>
            <w:vAlign w:val="center"/>
          </w:tcPr>
          <w:p w14:paraId="3C0678B4">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50</w:t>
            </w:r>
          </w:p>
        </w:tc>
        <w:tc>
          <w:tcPr>
            <w:tcW w:w="1162" w:type="dxa"/>
            <w:gridSpan w:val="2"/>
            <w:tcBorders>
              <w:tl2br w:val="nil"/>
              <w:tr2bl w:val="nil"/>
            </w:tcBorders>
            <w:noWrap w:val="0"/>
            <w:vAlign w:val="center"/>
          </w:tcPr>
          <w:p w14:paraId="48C0ADE0">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46.60</w:t>
            </w:r>
          </w:p>
        </w:tc>
        <w:tc>
          <w:tcPr>
            <w:tcW w:w="2316" w:type="dxa"/>
            <w:gridSpan w:val="3"/>
            <w:tcBorders>
              <w:tl2br w:val="nil"/>
              <w:tr2bl w:val="nil"/>
            </w:tcBorders>
            <w:noWrap w:val="0"/>
            <w:vAlign w:val="center"/>
          </w:tcPr>
          <w:p w14:paraId="5B8B90B0">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46.60</w:t>
            </w:r>
          </w:p>
        </w:tc>
        <w:tc>
          <w:tcPr>
            <w:tcW w:w="1092" w:type="dxa"/>
            <w:tcBorders>
              <w:tl2br w:val="nil"/>
              <w:tr2bl w:val="nil"/>
            </w:tcBorders>
            <w:noWrap w:val="0"/>
            <w:vAlign w:val="center"/>
          </w:tcPr>
          <w:p w14:paraId="49EB5308">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100</w:t>
            </w:r>
          </w:p>
        </w:tc>
        <w:tc>
          <w:tcPr>
            <w:tcW w:w="938" w:type="dxa"/>
            <w:tcBorders>
              <w:tl2br w:val="nil"/>
              <w:tr2bl w:val="nil"/>
            </w:tcBorders>
            <w:noWrap w:val="0"/>
            <w:vAlign w:val="center"/>
          </w:tcPr>
          <w:p w14:paraId="2E6FDB7C">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1238" w:type="dxa"/>
            <w:gridSpan w:val="2"/>
            <w:tcBorders>
              <w:tl2br w:val="nil"/>
              <w:tr2bl w:val="nil"/>
            </w:tcBorders>
            <w:noWrap w:val="0"/>
            <w:vAlign w:val="center"/>
          </w:tcPr>
          <w:p w14:paraId="2ACCAB15">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r>
      <w:tr w14:paraId="3650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47" w:type="dxa"/>
            <w:vMerge w:val="continue"/>
            <w:tcBorders>
              <w:tl2br w:val="nil"/>
              <w:tr2bl w:val="nil"/>
            </w:tcBorders>
            <w:noWrap w:val="0"/>
            <w:vAlign w:val="center"/>
          </w:tcPr>
          <w:p w14:paraId="31FE3040">
            <w:pPr>
              <w:snapToGrid w:val="0"/>
              <w:spacing w:line="40" w:lineRule="atLeast"/>
              <w:jc w:val="center"/>
              <w:rPr>
                <w:rFonts w:hint="eastAsia" w:ascii="方正仿宋_GBK" w:hAnsi="方正仿宋_GBK" w:eastAsia="方正仿宋_GBK" w:cs="方正仿宋_GBK"/>
                <w:color w:val="000000"/>
                <w:sz w:val="24"/>
                <w:szCs w:val="24"/>
              </w:rPr>
            </w:pPr>
          </w:p>
        </w:tc>
        <w:tc>
          <w:tcPr>
            <w:tcW w:w="1464" w:type="dxa"/>
            <w:gridSpan w:val="2"/>
            <w:tcBorders>
              <w:tl2br w:val="nil"/>
              <w:tr2bl w:val="nil"/>
            </w:tcBorders>
            <w:noWrap w:val="0"/>
            <w:vAlign w:val="center"/>
          </w:tcPr>
          <w:p w14:paraId="2EC08F8F">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其中：</w:t>
            </w:r>
          </w:p>
          <w:p w14:paraId="70CB8DAE">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财政拨款</w:t>
            </w:r>
          </w:p>
        </w:tc>
        <w:tc>
          <w:tcPr>
            <w:tcW w:w="1075" w:type="dxa"/>
            <w:gridSpan w:val="2"/>
            <w:tcBorders>
              <w:tl2br w:val="nil"/>
              <w:tr2bl w:val="nil"/>
            </w:tcBorders>
            <w:shd w:val="clear" w:color="auto" w:fill="auto"/>
            <w:noWrap w:val="0"/>
            <w:vAlign w:val="center"/>
          </w:tcPr>
          <w:p w14:paraId="1879D819">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50</w:t>
            </w:r>
          </w:p>
        </w:tc>
        <w:tc>
          <w:tcPr>
            <w:tcW w:w="1162" w:type="dxa"/>
            <w:gridSpan w:val="2"/>
            <w:tcBorders>
              <w:tl2br w:val="nil"/>
              <w:tr2bl w:val="nil"/>
            </w:tcBorders>
            <w:shd w:val="clear" w:color="auto" w:fill="auto"/>
            <w:noWrap w:val="0"/>
            <w:vAlign w:val="center"/>
          </w:tcPr>
          <w:p w14:paraId="4026F574">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46.60</w:t>
            </w:r>
          </w:p>
        </w:tc>
        <w:tc>
          <w:tcPr>
            <w:tcW w:w="2316" w:type="dxa"/>
            <w:gridSpan w:val="3"/>
            <w:tcBorders>
              <w:tl2br w:val="nil"/>
              <w:tr2bl w:val="nil"/>
            </w:tcBorders>
            <w:shd w:val="clear" w:color="auto" w:fill="auto"/>
            <w:noWrap w:val="0"/>
            <w:vAlign w:val="center"/>
          </w:tcPr>
          <w:p w14:paraId="2F5F2810">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46.60</w:t>
            </w:r>
          </w:p>
        </w:tc>
        <w:tc>
          <w:tcPr>
            <w:tcW w:w="1092" w:type="dxa"/>
            <w:tcBorders>
              <w:tl2br w:val="nil"/>
              <w:tr2bl w:val="nil"/>
            </w:tcBorders>
            <w:shd w:val="clear" w:color="auto" w:fill="auto"/>
            <w:noWrap w:val="0"/>
            <w:vAlign w:val="center"/>
          </w:tcPr>
          <w:p w14:paraId="34B4310E">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100</w:t>
            </w:r>
          </w:p>
        </w:tc>
        <w:tc>
          <w:tcPr>
            <w:tcW w:w="938" w:type="dxa"/>
            <w:tcBorders>
              <w:tl2br w:val="nil"/>
              <w:tr2bl w:val="nil"/>
            </w:tcBorders>
            <w:shd w:val="clear" w:color="auto" w:fill="auto"/>
            <w:noWrap w:val="0"/>
            <w:vAlign w:val="center"/>
          </w:tcPr>
          <w:p w14:paraId="560D01FB">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1238" w:type="dxa"/>
            <w:gridSpan w:val="2"/>
            <w:tcBorders>
              <w:tl2br w:val="nil"/>
              <w:tr2bl w:val="nil"/>
            </w:tcBorders>
            <w:shd w:val="clear" w:color="auto" w:fill="auto"/>
            <w:noWrap w:val="0"/>
            <w:vAlign w:val="center"/>
          </w:tcPr>
          <w:p w14:paraId="220B43C5">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r>
      <w:tr w14:paraId="24DB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63DCFD9A">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当年绩效目标</w:t>
            </w:r>
          </w:p>
        </w:tc>
        <w:tc>
          <w:tcPr>
            <w:tcW w:w="3017" w:type="dxa"/>
            <w:gridSpan w:val="5"/>
            <w:tcBorders>
              <w:tl2br w:val="nil"/>
              <w:tr2bl w:val="nil"/>
            </w:tcBorders>
            <w:noWrap w:val="0"/>
            <w:vAlign w:val="center"/>
          </w:tcPr>
          <w:p w14:paraId="252BC1B3">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年初绩效目标</w:t>
            </w:r>
          </w:p>
        </w:tc>
        <w:tc>
          <w:tcPr>
            <w:tcW w:w="3000" w:type="dxa"/>
            <w:gridSpan w:val="4"/>
            <w:tcBorders>
              <w:tl2br w:val="nil"/>
              <w:tr2bl w:val="nil"/>
            </w:tcBorders>
            <w:noWrap w:val="0"/>
            <w:vAlign w:val="center"/>
          </w:tcPr>
          <w:p w14:paraId="1D2A90BB">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全年（调整）绩效目标</w:t>
            </w:r>
          </w:p>
        </w:tc>
        <w:tc>
          <w:tcPr>
            <w:tcW w:w="3268" w:type="dxa"/>
            <w:gridSpan w:val="4"/>
            <w:tcBorders>
              <w:tl2br w:val="nil"/>
              <w:tr2bl w:val="nil"/>
            </w:tcBorders>
            <w:noWrap w:val="0"/>
            <w:vAlign w:val="center"/>
          </w:tcPr>
          <w:p w14:paraId="21E3BD0D">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全年目标实际完成情况</w:t>
            </w:r>
          </w:p>
        </w:tc>
      </w:tr>
      <w:tr w14:paraId="2341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14:paraId="4DE8E388">
            <w:pPr>
              <w:snapToGrid w:val="0"/>
              <w:spacing w:line="40" w:lineRule="atLeast"/>
              <w:jc w:val="center"/>
              <w:rPr>
                <w:rFonts w:hint="eastAsia" w:ascii="方正仿宋_GBK" w:hAnsi="方正仿宋_GBK" w:eastAsia="方正仿宋_GBK" w:cs="方正仿宋_GBK"/>
                <w:color w:val="000000"/>
                <w:sz w:val="24"/>
                <w:szCs w:val="24"/>
              </w:rPr>
            </w:pPr>
          </w:p>
        </w:tc>
        <w:tc>
          <w:tcPr>
            <w:tcW w:w="3017" w:type="dxa"/>
            <w:gridSpan w:val="5"/>
            <w:tcBorders>
              <w:tl2br w:val="nil"/>
              <w:tr2bl w:val="nil"/>
            </w:tcBorders>
            <w:noWrap w:val="0"/>
            <w:vAlign w:val="center"/>
          </w:tcPr>
          <w:p w14:paraId="22C8BB61">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维护公路附属设施完好，及时排除故障。</w:t>
            </w:r>
          </w:p>
        </w:tc>
        <w:tc>
          <w:tcPr>
            <w:tcW w:w="3000" w:type="dxa"/>
            <w:gridSpan w:val="4"/>
            <w:tcBorders>
              <w:tl2br w:val="nil"/>
              <w:tr2bl w:val="nil"/>
            </w:tcBorders>
            <w:noWrap w:val="0"/>
            <w:vAlign w:val="center"/>
          </w:tcPr>
          <w:p w14:paraId="6D35E239">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维护公路附属设施完好，及时排除故障。</w:t>
            </w:r>
          </w:p>
        </w:tc>
        <w:tc>
          <w:tcPr>
            <w:tcW w:w="3268" w:type="dxa"/>
            <w:gridSpan w:val="4"/>
            <w:tcBorders>
              <w:tl2br w:val="nil"/>
              <w:tr2bl w:val="nil"/>
            </w:tcBorders>
            <w:noWrap w:val="0"/>
            <w:vAlign w:val="center"/>
          </w:tcPr>
          <w:p w14:paraId="20BB7D27">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维护公路附属设施完好，及时排除故障。</w:t>
            </w:r>
          </w:p>
        </w:tc>
      </w:tr>
      <w:tr w14:paraId="3C78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20DD0065">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绩效指标</w:t>
            </w:r>
          </w:p>
        </w:tc>
        <w:tc>
          <w:tcPr>
            <w:tcW w:w="756" w:type="dxa"/>
            <w:tcBorders>
              <w:tl2br w:val="nil"/>
              <w:tr2bl w:val="nil"/>
            </w:tcBorders>
            <w:noWrap w:val="0"/>
            <w:vAlign w:val="center"/>
          </w:tcPr>
          <w:p w14:paraId="1D7A4DEB">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指标</w:t>
            </w:r>
          </w:p>
          <w:p w14:paraId="3487E4C4">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名称</w:t>
            </w:r>
          </w:p>
        </w:tc>
        <w:tc>
          <w:tcPr>
            <w:tcW w:w="708" w:type="dxa"/>
            <w:tcBorders>
              <w:tl2br w:val="nil"/>
              <w:tr2bl w:val="nil"/>
            </w:tcBorders>
            <w:noWrap w:val="0"/>
            <w:vAlign w:val="center"/>
          </w:tcPr>
          <w:p w14:paraId="538066C4">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计量</w:t>
            </w:r>
          </w:p>
          <w:p w14:paraId="02818704">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单位</w:t>
            </w:r>
          </w:p>
        </w:tc>
        <w:tc>
          <w:tcPr>
            <w:tcW w:w="709" w:type="dxa"/>
            <w:tcBorders>
              <w:tl2br w:val="nil"/>
              <w:tr2bl w:val="nil"/>
            </w:tcBorders>
            <w:noWrap w:val="0"/>
            <w:vAlign w:val="center"/>
          </w:tcPr>
          <w:p w14:paraId="0FD6FA2B">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指标</w:t>
            </w:r>
          </w:p>
          <w:p w14:paraId="2C87344A">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性质</w:t>
            </w:r>
          </w:p>
        </w:tc>
        <w:tc>
          <w:tcPr>
            <w:tcW w:w="844" w:type="dxa"/>
            <w:gridSpan w:val="2"/>
            <w:tcBorders>
              <w:tl2br w:val="nil"/>
              <w:tr2bl w:val="nil"/>
            </w:tcBorders>
            <w:noWrap w:val="0"/>
            <w:vAlign w:val="center"/>
          </w:tcPr>
          <w:p w14:paraId="5512F9E5">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指标</w:t>
            </w:r>
          </w:p>
          <w:p w14:paraId="54BFB28A">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值</w:t>
            </w:r>
          </w:p>
        </w:tc>
        <w:tc>
          <w:tcPr>
            <w:tcW w:w="972" w:type="dxa"/>
            <w:gridSpan w:val="2"/>
            <w:tcBorders>
              <w:tl2br w:val="nil"/>
              <w:tr2bl w:val="nil"/>
            </w:tcBorders>
            <w:noWrap w:val="0"/>
            <w:vAlign w:val="center"/>
          </w:tcPr>
          <w:p w14:paraId="5CC2897C">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全年</w:t>
            </w:r>
          </w:p>
          <w:p w14:paraId="741629D3">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完成值</w:t>
            </w:r>
          </w:p>
        </w:tc>
        <w:tc>
          <w:tcPr>
            <w:tcW w:w="948" w:type="dxa"/>
            <w:tcBorders>
              <w:tl2br w:val="nil"/>
              <w:tr2bl w:val="nil"/>
            </w:tcBorders>
            <w:noWrap w:val="0"/>
            <w:vAlign w:val="center"/>
          </w:tcPr>
          <w:p w14:paraId="67AE6470">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偏离度（%）</w:t>
            </w:r>
          </w:p>
        </w:tc>
        <w:tc>
          <w:tcPr>
            <w:tcW w:w="1080" w:type="dxa"/>
            <w:tcBorders>
              <w:tl2br w:val="nil"/>
              <w:tr2bl w:val="nil"/>
            </w:tcBorders>
            <w:noWrap w:val="0"/>
            <w:vAlign w:val="center"/>
          </w:tcPr>
          <w:p w14:paraId="5B11ED21">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得分</w:t>
            </w:r>
          </w:p>
          <w:p w14:paraId="3D6F9B56">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系数</w:t>
            </w:r>
          </w:p>
          <w:p w14:paraId="2F0D3C41">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c>
          <w:tcPr>
            <w:tcW w:w="1092" w:type="dxa"/>
            <w:tcBorders>
              <w:tl2br w:val="nil"/>
              <w:tr2bl w:val="nil"/>
            </w:tcBorders>
            <w:noWrap w:val="0"/>
            <w:vAlign w:val="center"/>
          </w:tcPr>
          <w:p w14:paraId="67E85863">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指标</w:t>
            </w:r>
          </w:p>
          <w:p w14:paraId="5AC6CAFF">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权重</w:t>
            </w:r>
          </w:p>
          <w:p w14:paraId="0058D3D8">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（分）</w:t>
            </w:r>
          </w:p>
        </w:tc>
        <w:tc>
          <w:tcPr>
            <w:tcW w:w="1284" w:type="dxa"/>
            <w:gridSpan w:val="2"/>
            <w:tcBorders>
              <w:tl2br w:val="nil"/>
              <w:tr2bl w:val="nil"/>
            </w:tcBorders>
            <w:noWrap w:val="0"/>
            <w:vAlign w:val="center"/>
          </w:tcPr>
          <w:p w14:paraId="61A3B5D1">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指标得分</w:t>
            </w:r>
          </w:p>
          <w:p w14:paraId="28587963">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（分）</w:t>
            </w:r>
          </w:p>
        </w:tc>
        <w:tc>
          <w:tcPr>
            <w:tcW w:w="892" w:type="dxa"/>
            <w:tcBorders>
              <w:tl2br w:val="nil"/>
              <w:tr2bl w:val="nil"/>
            </w:tcBorders>
            <w:noWrap w:val="0"/>
            <w:vAlign w:val="center"/>
          </w:tcPr>
          <w:p w14:paraId="31B8703F">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14:paraId="5BD9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3E12151">
            <w:pPr>
              <w:snapToGrid w:val="0"/>
              <w:spacing w:line="40" w:lineRule="atLeast"/>
              <w:jc w:val="center"/>
              <w:rPr>
                <w:rFonts w:hint="eastAsia" w:ascii="方正仿宋_GBK" w:hAnsi="方正仿宋_GBK" w:eastAsia="方正仿宋_GBK" w:cs="方正仿宋_GBK"/>
                <w:color w:val="000000"/>
                <w:sz w:val="24"/>
                <w:szCs w:val="24"/>
              </w:rPr>
            </w:pPr>
          </w:p>
        </w:tc>
        <w:tc>
          <w:tcPr>
            <w:tcW w:w="756" w:type="dxa"/>
            <w:tcBorders>
              <w:tl2br w:val="nil"/>
              <w:tr2bl w:val="nil"/>
            </w:tcBorders>
            <w:noWrap w:val="0"/>
            <w:vAlign w:val="center"/>
          </w:tcPr>
          <w:p w14:paraId="2975951F">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设施完好率</w:t>
            </w:r>
          </w:p>
        </w:tc>
        <w:tc>
          <w:tcPr>
            <w:tcW w:w="708" w:type="dxa"/>
            <w:tcBorders>
              <w:tl2br w:val="nil"/>
              <w:tr2bl w:val="nil"/>
            </w:tcBorders>
            <w:shd w:val="clear" w:color="auto" w:fill="auto"/>
            <w:noWrap w:val="0"/>
            <w:vAlign w:val="center"/>
          </w:tcPr>
          <w:p w14:paraId="03AE4AD8">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w:t>
            </w:r>
          </w:p>
        </w:tc>
        <w:tc>
          <w:tcPr>
            <w:tcW w:w="709" w:type="dxa"/>
            <w:tcBorders>
              <w:tl2br w:val="nil"/>
              <w:tr2bl w:val="nil"/>
            </w:tcBorders>
            <w:shd w:val="clear" w:color="auto" w:fill="auto"/>
            <w:noWrap w:val="0"/>
            <w:vAlign w:val="center"/>
          </w:tcPr>
          <w:p w14:paraId="1277D54C">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w:t>
            </w:r>
          </w:p>
        </w:tc>
        <w:tc>
          <w:tcPr>
            <w:tcW w:w="844" w:type="dxa"/>
            <w:gridSpan w:val="2"/>
            <w:tcBorders>
              <w:tl2br w:val="nil"/>
              <w:tr2bl w:val="nil"/>
            </w:tcBorders>
            <w:noWrap w:val="0"/>
            <w:vAlign w:val="center"/>
          </w:tcPr>
          <w:p w14:paraId="75DE6D51">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95</w:t>
            </w:r>
          </w:p>
        </w:tc>
        <w:tc>
          <w:tcPr>
            <w:tcW w:w="972" w:type="dxa"/>
            <w:gridSpan w:val="2"/>
            <w:tcBorders>
              <w:tl2br w:val="nil"/>
              <w:tr2bl w:val="nil"/>
            </w:tcBorders>
            <w:noWrap w:val="0"/>
            <w:vAlign w:val="center"/>
          </w:tcPr>
          <w:p w14:paraId="5BFCE8D9">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95</w:t>
            </w:r>
          </w:p>
        </w:tc>
        <w:tc>
          <w:tcPr>
            <w:tcW w:w="948" w:type="dxa"/>
            <w:tcBorders>
              <w:tl2br w:val="nil"/>
              <w:tr2bl w:val="nil"/>
            </w:tcBorders>
            <w:noWrap w:val="0"/>
            <w:vAlign w:val="center"/>
          </w:tcPr>
          <w:p w14:paraId="03AE6790">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w:t>
            </w:r>
          </w:p>
        </w:tc>
        <w:tc>
          <w:tcPr>
            <w:tcW w:w="1080" w:type="dxa"/>
            <w:tcBorders>
              <w:tl2br w:val="nil"/>
              <w:tr2bl w:val="nil"/>
            </w:tcBorders>
            <w:noWrap w:val="0"/>
            <w:vAlign w:val="center"/>
          </w:tcPr>
          <w:p w14:paraId="5E46BB44">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100</w:t>
            </w:r>
          </w:p>
        </w:tc>
        <w:tc>
          <w:tcPr>
            <w:tcW w:w="1092" w:type="dxa"/>
            <w:tcBorders>
              <w:tl2br w:val="nil"/>
              <w:tr2bl w:val="nil"/>
            </w:tcBorders>
            <w:noWrap w:val="0"/>
            <w:vAlign w:val="center"/>
          </w:tcPr>
          <w:p w14:paraId="76455EAC">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w:t>
            </w:r>
          </w:p>
        </w:tc>
        <w:tc>
          <w:tcPr>
            <w:tcW w:w="1284" w:type="dxa"/>
            <w:gridSpan w:val="2"/>
            <w:tcBorders>
              <w:tl2br w:val="nil"/>
              <w:tr2bl w:val="nil"/>
            </w:tcBorders>
            <w:noWrap w:val="0"/>
            <w:vAlign w:val="center"/>
          </w:tcPr>
          <w:p w14:paraId="21FBF1FF">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w:t>
            </w:r>
          </w:p>
        </w:tc>
        <w:tc>
          <w:tcPr>
            <w:tcW w:w="892" w:type="dxa"/>
            <w:tcBorders>
              <w:tl2br w:val="nil"/>
              <w:tr2bl w:val="nil"/>
            </w:tcBorders>
            <w:noWrap w:val="0"/>
            <w:vAlign w:val="center"/>
          </w:tcPr>
          <w:p w14:paraId="33B8097F">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是</w:t>
            </w:r>
          </w:p>
        </w:tc>
      </w:tr>
      <w:tr w14:paraId="2C00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F382B40">
            <w:pPr>
              <w:snapToGrid w:val="0"/>
              <w:spacing w:line="40" w:lineRule="atLeast"/>
              <w:jc w:val="center"/>
              <w:rPr>
                <w:rFonts w:hint="eastAsia" w:ascii="方正仿宋_GBK" w:hAnsi="方正仿宋_GBK" w:eastAsia="方正仿宋_GBK" w:cs="方正仿宋_GBK"/>
                <w:color w:val="000000"/>
                <w:sz w:val="24"/>
                <w:szCs w:val="24"/>
              </w:rPr>
            </w:pPr>
          </w:p>
        </w:tc>
        <w:tc>
          <w:tcPr>
            <w:tcW w:w="756" w:type="dxa"/>
            <w:tcBorders>
              <w:tl2br w:val="nil"/>
              <w:tr2bl w:val="nil"/>
            </w:tcBorders>
            <w:noWrap w:val="0"/>
            <w:vAlign w:val="center"/>
          </w:tcPr>
          <w:p w14:paraId="07F246B0">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故障排除及时率</w:t>
            </w:r>
          </w:p>
        </w:tc>
        <w:tc>
          <w:tcPr>
            <w:tcW w:w="708" w:type="dxa"/>
            <w:tcBorders>
              <w:tl2br w:val="nil"/>
              <w:tr2bl w:val="nil"/>
            </w:tcBorders>
            <w:shd w:val="clear" w:color="auto" w:fill="auto"/>
            <w:noWrap w:val="0"/>
            <w:vAlign w:val="center"/>
          </w:tcPr>
          <w:p w14:paraId="08C5F558">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w:t>
            </w:r>
          </w:p>
        </w:tc>
        <w:tc>
          <w:tcPr>
            <w:tcW w:w="709" w:type="dxa"/>
            <w:tcBorders>
              <w:tl2br w:val="nil"/>
              <w:tr2bl w:val="nil"/>
            </w:tcBorders>
            <w:shd w:val="clear" w:color="auto" w:fill="auto"/>
            <w:noWrap w:val="0"/>
            <w:vAlign w:val="center"/>
          </w:tcPr>
          <w:p w14:paraId="65D22AF1">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w:t>
            </w:r>
          </w:p>
        </w:tc>
        <w:tc>
          <w:tcPr>
            <w:tcW w:w="844" w:type="dxa"/>
            <w:gridSpan w:val="2"/>
            <w:tcBorders>
              <w:tl2br w:val="nil"/>
              <w:tr2bl w:val="nil"/>
            </w:tcBorders>
            <w:noWrap w:val="0"/>
            <w:vAlign w:val="center"/>
          </w:tcPr>
          <w:p w14:paraId="51BED4C2">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95</w:t>
            </w:r>
          </w:p>
        </w:tc>
        <w:tc>
          <w:tcPr>
            <w:tcW w:w="972" w:type="dxa"/>
            <w:gridSpan w:val="2"/>
            <w:tcBorders>
              <w:tl2br w:val="nil"/>
              <w:tr2bl w:val="nil"/>
            </w:tcBorders>
            <w:noWrap w:val="0"/>
            <w:vAlign w:val="center"/>
          </w:tcPr>
          <w:p w14:paraId="494F82EF">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95</w:t>
            </w:r>
          </w:p>
        </w:tc>
        <w:tc>
          <w:tcPr>
            <w:tcW w:w="948" w:type="dxa"/>
            <w:tcBorders>
              <w:tl2br w:val="nil"/>
              <w:tr2bl w:val="nil"/>
            </w:tcBorders>
            <w:noWrap w:val="0"/>
            <w:vAlign w:val="center"/>
          </w:tcPr>
          <w:p w14:paraId="6B797D01">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w:t>
            </w:r>
          </w:p>
        </w:tc>
        <w:tc>
          <w:tcPr>
            <w:tcW w:w="1080" w:type="dxa"/>
            <w:tcBorders>
              <w:tl2br w:val="nil"/>
              <w:tr2bl w:val="nil"/>
            </w:tcBorders>
            <w:noWrap w:val="0"/>
            <w:vAlign w:val="center"/>
          </w:tcPr>
          <w:p w14:paraId="086DB81F">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100</w:t>
            </w:r>
          </w:p>
        </w:tc>
        <w:tc>
          <w:tcPr>
            <w:tcW w:w="1092" w:type="dxa"/>
            <w:tcBorders>
              <w:tl2br w:val="nil"/>
              <w:tr2bl w:val="nil"/>
            </w:tcBorders>
            <w:noWrap w:val="0"/>
            <w:vAlign w:val="center"/>
          </w:tcPr>
          <w:p w14:paraId="3C183D6C">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w:t>
            </w:r>
          </w:p>
        </w:tc>
        <w:tc>
          <w:tcPr>
            <w:tcW w:w="1284" w:type="dxa"/>
            <w:gridSpan w:val="2"/>
            <w:tcBorders>
              <w:tl2br w:val="nil"/>
              <w:tr2bl w:val="nil"/>
            </w:tcBorders>
            <w:noWrap w:val="0"/>
            <w:vAlign w:val="center"/>
          </w:tcPr>
          <w:p w14:paraId="71F90D68">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w:t>
            </w:r>
          </w:p>
        </w:tc>
        <w:tc>
          <w:tcPr>
            <w:tcW w:w="892" w:type="dxa"/>
            <w:tcBorders>
              <w:tl2br w:val="nil"/>
              <w:tr2bl w:val="nil"/>
            </w:tcBorders>
            <w:noWrap w:val="0"/>
            <w:vAlign w:val="center"/>
          </w:tcPr>
          <w:p w14:paraId="0DF545D1">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是</w:t>
            </w:r>
          </w:p>
        </w:tc>
      </w:tr>
      <w:tr w14:paraId="040C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34B05AB">
            <w:pPr>
              <w:snapToGrid w:val="0"/>
              <w:spacing w:line="40" w:lineRule="atLeast"/>
              <w:jc w:val="center"/>
              <w:rPr>
                <w:rFonts w:hint="eastAsia" w:ascii="方正仿宋_GBK" w:hAnsi="方正仿宋_GBK" w:eastAsia="方正仿宋_GBK" w:cs="方正仿宋_GBK"/>
                <w:color w:val="000000"/>
                <w:sz w:val="24"/>
                <w:szCs w:val="24"/>
              </w:rPr>
            </w:pPr>
          </w:p>
        </w:tc>
        <w:tc>
          <w:tcPr>
            <w:tcW w:w="756" w:type="dxa"/>
            <w:tcBorders>
              <w:tl2br w:val="nil"/>
              <w:tr2bl w:val="nil"/>
            </w:tcBorders>
            <w:noWrap w:val="0"/>
            <w:vAlign w:val="center"/>
          </w:tcPr>
          <w:p w14:paraId="43A68B50">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公路交通流量增长率</w:t>
            </w:r>
          </w:p>
        </w:tc>
        <w:tc>
          <w:tcPr>
            <w:tcW w:w="708" w:type="dxa"/>
            <w:tcBorders>
              <w:tl2br w:val="nil"/>
              <w:tr2bl w:val="nil"/>
            </w:tcBorders>
            <w:shd w:val="clear" w:color="auto" w:fill="auto"/>
            <w:noWrap w:val="0"/>
            <w:vAlign w:val="center"/>
          </w:tcPr>
          <w:p w14:paraId="5587449C">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w:t>
            </w:r>
          </w:p>
        </w:tc>
        <w:tc>
          <w:tcPr>
            <w:tcW w:w="709" w:type="dxa"/>
            <w:tcBorders>
              <w:tl2br w:val="nil"/>
              <w:tr2bl w:val="nil"/>
            </w:tcBorders>
            <w:shd w:val="clear" w:color="auto" w:fill="auto"/>
            <w:noWrap w:val="0"/>
            <w:vAlign w:val="center"/>
          </w:tcPr>
          <w:p w14:paraId="1000BE85">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w:t>
            </w:r>
          </w:p>
        </w:tc>
        <w:tc>
          <w:tcPr>
            <w:tcW w:w="844" w:type="dxa"/>
            <w:gridSpan w:val="2"/>
            <w:tcBorders>
              <w:tl2br w:val="nil"/>
              <w:tr2bl w:val="nil"/>
            </w:tcBorders>
            <w:noWrap w:val="0"/>
            <w:vAlign w:val="center"/>
          </w:tcPr>
          <w:p w14:paraId="33697E82">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972" w:type="dxa"/>
            <w:gridSpan w:val="2"/>
            <w:tcBorders>
              <w:tl2br w:val="nil"/>
              <w:tr2bl w:val="nil"/>
            </w:tcBorders>
            <w:noWrap w:val="0"/>
            <w:vAlign w:val="center"/>
          </w:tcPr>
          <w:p w14:paraId="242D4D6E">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948" w:type="dxa"/>
            <w:tcBorders>
              <w:tl2br w:val="nil"/>
              <w:tr2bl w:val="nil"/>
            </w:tcBorders>
            <w:noWrap w:val="0"/>
            <w:vAlign w:val="center"/>
          </w:tcPr>
          <w:p w14:paraId="762D036C">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w:t>
            </w:r>
          </w:p>
        </w:tc>
        <w:tc>
          <w:tcPr>
            <w:tcW w:w="1080" w:type="dxa"/>
            <w:tcBorders>
              <w:tl2br w:val="nil"/>
              <w:tr2bl w:val="nil"/>
            </w:tcBorders>
            <w:noWrap w:val="0"/>
            <w:vAlign w:val="center"/>
          </w:tcPr>
          <w:p w14:paraId="2ED0E435">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100</w:t>
            </w:r>
          </w:p>
        </w:tc>
        <w:tc>
          <w:tcPr>
            <w:tcW w:w="1092" w:type="dxa"/>
            <w:tcBorders>
              <w:tl2br w:val="nil"/>
              <w:tr2bl w:val="nil"/>
            </w:tcBorders>
            <w:noWrap w:val="0"/>
            <w:vAlign w:val="center"/>
          </w:tcPr>
          <w:p w14:paraId="1B7BD784">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w:t>
            </w:r>
          </w:p>
        </w:tc>
        <w:tc>
          <w:tcPr>
            <w:tcW w:w="1284" w:type="dxa"/>
            <w:gridSpan w:val="2"/>
            <w:tcBorders>
              <w:tl2br w:val="nil"/>
              <w:tr2bl w:val="nil"/>
            </w:tcBorders>
            <w:noWrap w:val="0"/>
            <w:vAlign w:val="center"/>
          </w:tcPr>
          <w:p w14:paraId="15E7D069">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w:t>
            </w:r>
          </w:p>
        </w:tc>
        <w:tc>
          <w:tcPr>
            <w:tcW w:w="892" w:type="dxa"/>
            <w:tcBorders>
              <w:tl2br w:val="nil"/>
              <w:tr2bl w:val="nil"/>
            </w:tcBorders>
            <w:noWrap w:val="0"/>
            <w:vAlign w:val="center"/>
          </w:tcPr>
          <w:p w14:paraId="71F3DA7B">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否</w:t>
            </w:r>
          </w:p>
        </w:tc>
      </w:tr>
      <w:tr w14:paraId="487A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847" w:type="dxa"/>
            <w:vMerge w:val="continue"/>
            <w:tcBorders>
              <w:tl2br w:val="nil"/>
              <w:tr2bl w:val="nil"/>
            </w:tcBorders>
            <w:noWrap w:val="0"/>
            <w:vAlign w:val="center"/>
          </w:tcPr>
          <w:p w14:paraId="7D3D3EA7">
            <w:pPr>
              <w:snapToGrid w:val="0"/>
              <w:spacing w:line="40" w:lineRule="atLeast"/>
              <w:jc w:val="center"/>
              <w:rPr>
                <w:rFonts w:hint="eastAsia" w:ascii="方正仿宋_GBK" w:hAnsi="方正仿宋_GBK" w:eastAsia="方正仿宋_GBK" w:cs="方正仿宋_GBK"/>
                <w:color w:val="000000"/>
                <w:sz w:val="24"/>
                <w:szCs w:val="24"/>
              </w:rPr>
            </w:pPr>
          </w:p>
        </w:tc>
        <w:tc>
          <w:tcPr>
            <w:tcW w:w="756" w:type="dxa"/>
            <w:tcBorders>
              <w:tl2br w:val="nil"/>
              <w:tr2bl w:val="nil"/>
            </w:tcBorders>
            <w:noWrap w:val="0"/>
            <w:vAlign w:val="center"/>
          </w:tcPr>
          <w:p w14:paraId="3AFF2382">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延长道路使用寿命</w:t>
            </w:r>
          </w:p>
        </w:tc>
        <w:tc>
          <w:tcPr>
            <w:tcW w:w="708" w:type="dxa"/>
            <w:tcBorders>
              <w:tl2br w:val="nil"/>
              <w:tr2bl w:val="nil"/>
            </w:tcBorders>
            <w:noWrap w:val="0"/>
            <w:vAlign w:val="center"/>
          </w:tcPr>
          <w:p w14:paraId="5F8A47F5">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年</w:t>
            </w:r>
          </w:p>
        </w:tc>
        <w:tc>
          <w:tcPr>
            <w:tcW w:w="709" w:type="dxa"/>
            <w:tcBorders>
              <w:tl2br w:val="nil"/>
              <w:tr2bl w:val="nil"/>
            </w:tcBorders>
            <w:shd w:val="clear" w:color="auto" w:fill="auto"/>
            <w:noWrap w:val="0"/>
            <w:vAlign w:val="center"/>
          </w:tcPr>
          <w:p w14:paraId="7C4E1B72">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w:t>
            </w:r>
          </w:p>
        </w:tc>
        <w:tc>
          <w:tcPr>
            <w:tcW w:w="844" w:type="dxa"/>
            <w:gridSpan w:val="2"/>
            <w:tcBorders>
              <w:tl2br w:val="nil"/>
              <w:tr2bl w:val="nil"/>
            </w:tcBorders>
            <w:noWrap w:val="0"/>
            <w:vAlign w:val="center"/>
          </w:tcPr>
          <w:p w14:paraId="60D40E26">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972" w:type="dxa"/>
            <w:gridSpan w:val="2"/>
            <w:tcBorders>
              <w:tl2br w:val="nil"/>
              <w:tr2bl w:val="nil"/>
            </w:tcBorders>
            <w:noWrap w:val="0"/>
            <w:vAlign w:val="center"/>
          </w:tcPr>
          <w:p w14:paraId="27F7C88A">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948" w:type="dxa"/>
            <w:tcBorders>
              <w:tl2br w:val="nil"/>
              <w:tr2bl w:val="nil"/>
            </w:tcBorders>
            <w:noWrap w:val="0"/>
            <w:vAlign w:val="center"/>
          </w:tcPr>
          <w:p w14:paraId="06C56AB6">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w:t>
            </w:r>
          </w:p>
        </w:tc>
        <w:tc>
          <w:tcPr>
            <w:tcW w:w="1080" w:type="dxa"/>
            <w:tcBorders>
              <w:tl2br w:val="nil"/>
              <w:tr2bl w:val="nil"/>
            </w:tcBorders>
            <w:noWrap w:val="0"/>
            <w:vAlign w:val="center"/>
          </w:tcPr>
          <w:p w14:paraId="50AFAB4C">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100</w:t>
            </w:r>
          </w:p>
        </w:tc>
        <w:tc>
          <w:tcPr>
            <w:tcW w:w="1092" w:type="dxa"/>
            <w:tcBorders>
              <w:tl2br w:val="nil"/>
              <w:tr2bl w:val="nil"/>
            </w:tcBorders>
            <w:noWrap w:val="0"/>
            <w:vAlign w:val="center"/>
          </w:tcPr>
          <w:p w14:paraId="3FC2B306">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w:t>
            </w:r>
          </w:p>
        </w:tc>
        <w:tc>
          <w:tcPr>
            <w:tcW w:w="1284" w:type="dxa"/>
            <w:gridSpan w:val="2"/>
            <w:tcBorders>
              <w:tl2br w:val="nil"/>
              <w:tr2bl w:val="nil"/>
            </w:tcBorders>
            <w:noWrap w:val="0"/>
            <w:vAlign w:val="center"/>
          </w:tcPr>
          <w:p w14:paraId="768EB2F2">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w:t>
            </w:r>
          </w:p>
        </w:tc>
        <w:tc>
          <w:tcPr>
            <w:tcW w:w="892" w:type="dxa"/>
            <w:tcBorders>
              <w:tl2br w:val="nil"/>
              <w:tr2bl w:val="nil"/>
            </w:tcBorders>
            <w:noWrap w:val="0"/>
            <w:vAlign w:val="center"/>
          </w:tcPr>
          <w:p w14:paraId="6B107E74">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否</w:t>
            </w:r>
          </w:p>
        </w:tc>
      </w:tr>
      <w:tr w14:paraId="17DF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33A08DA4">
            <w:pPr>
              <w:snapToGrid w:val="0"/>
              <w:spacing w:line="40" w:lineRule="atLeast"/>
              <w:jc w:val="center"/>
              <w:rPr>
                <w:rFonts w:hint="eastAsia" w:ascii="方正仿宋_GBK" w:hAnsi="方正仿宋_GBK" w:eastAsia="方正仿宋_GBK" w:cs="方正仿宋_GBK"/>
                <w:color w:val="000000"/>
                <w:sz w:val="24"/>
                <w:szCs w:val="24"/>
              </w:rPr>
            </w:pPr>
          </w:p>
        </w:tc>
        <w:tc>
          <w:tcPr>
            <w:tcW w:w="756" w:type="dxa"/>
            <w:tcBorders>
              <w:tl2br w:val="nil"/>
              <w:tr2bl w:val="nil"/>
            </w:tcBorders>
            <w:noWrap w:val="0"/>
            <w:vAlign w:val="center"/>
          </w:tcPr>
          <w:p w14:paraId="1B0B9CC5">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受益群体满意度</w:t>
            </w:r>
          </w:p>
        </w:tc>
        <w:tc>
          <w:tcPr>
            <w:tcW w:w="708" w:type="dxa"/>
            <w:tcBorders>
              <w:tl2br w:val="nil"/>
              <w:tr2bl w:val="nil"/>
            </w:tcBorders>
            <w:shd w:val="clear" w:color="auto" w:fill="auto"/>
            <w:noWrap w:val="0"/>
            <w:vAlign w:val="center"/>
          </w:tcPr>
          <w:p w14:paraId="73342D7A">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w:t>
            </w:r>
          </w:p>
        </w:tc>
        <w:tc>
          <w:tcPr>
            <w:tcW w:w="709" w:type="dxa"/>
            <w:tcBorders>
              <w:tl2br w:val="nil"/>
              <w:tr2bl w:val="nil"/>
            </w:tcBorders>
            <w:shd w:val="clear" w:color="auto" w:fill="auto"/>
            <w:noWrap w:val="0"/>
            <w:vAlign w:val="center"/>
          </w:tcPr>
          <w:p w14:paraId="3DDF227D">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w:t>
            </w:r>
          </w:p>
        </w:tc>
        <w:tc>
          <w:tcPr>
            <w:tcW w:w="844" w:type="dxa"/>
            <w:gridSpan w:val="2"/>
            <w:tcBorders>
              <w:tl2br w:val="nil"/>
              <w:tr2bl w:val="nil"/>
            </w:tcBorders>
            <w:noWrap w:val="0"/>
            <w:vAlign w:val="center"/>
          </w:tcPr>
          <w:p w14:paraId="11472B69">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90</w:t>
            </w:r>
          </w:p>
        </w:tc>
        <w:tc>
          <w:tcPr>
            <w:tcW w:w="972" w:type="dxa"/>
            <w:gridSpan w:val="2"/>
            <w:tcBorders>
              <w:tl2br w:val="nil"/>
              <w:tr2bl w:val="nil"/>
            </w:tcBorders>
            <w:noWrap w:val="0"/>
            <w:vAlign w:val="center"/>
          </w:tcPr>
          <w:p w14:paraId="7A873121">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90</w:t>
            </w:r>
          </w:p>
        </w:tc>
        <w:tc>
          <w:tcPr>
            <w:tcW w:w="948" w:type="dxa"/>
            <w:tcBorders>
              <w:tl2br w:val="nil"/>
              <w:tr2bl w:val="nil"/>
            </w:tcBorders>
            <w:noWrap w:val="0"/>
            <w:vAlign w:val="center"/>
          </w:tcPr>
          <w:p w14:paraId="177EFFE4">
            <w:pPr>
              <w:snapToGrid w:val="0"/>
              <w:spacing w:line="40" w:lineRule="atLeas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w:t>
            </w:r>
          </w:p>
        </w:tc>
        <w:tc>
          <w:tcPr>
            <w:tcW w:w="1080" w:type="dxa"/>
            <w:tcBorders>
              <w:tl2br w:val="nil"/>
              <w:tr2bl w:val="nil"/>
            </w:tcBorders>
            <w:noWrap w:val="0"/>
            <w:vAlign w:val="center"/>
          </w:tcPr>
          <w:p w14:paraId="23A297CC">
            <w:pPr>
              <w:snapToGrid w:val="0"/>
              <w:spacing w:line="40" w:lineRule="atLeas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100</w:t>
            </w:r>
          </w:p>
        </w:tc>
        <w:tc>
          <w:tcPr>
            <w:tcW w:w="1092" w:type="dxa"/>
            <w:tcBorders>
              <w:tl2br w:val="nil"/>
              <w:tr2bl w:val="nil"/>
            </w:tcBorders>
            <w:noWrap w:val="0"/>
            <w:vAlign w:val="center"/>
          </w:tcPr>
          <w:p w14:paraId="39B11AEA">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1284" w:type="dxa"/>
            <w:gridSpan w:val="2"/>
            <w:tcBorders>
              <w:tl2br w:val="nil"/>
              <w:tr2bl w:val="nil"/>
            </w:tcBorders>
            <w:noWrap w:val="0"/>
            <w:vAlign w:val="center"/>
          </w:tcPr>
          <w:p w14:paraId="078E29BF">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892" w:type="dxa"/>
            <w:tcBorders>
              <w:tl2br w:val="nil"/>
              <w:tr2bl w:val="nil"/>
            </w:tcBorders>
            <w:noWrap w:val="0"/>
            <w:vAlign w:val="center"/>
          </w:tcPr>
          <w:p w14:paraId="061C054E">
            <w:pPr>
              <w:snapToGrid w:val="0"/>
              <w:spacing w:line="40" w:lineRule="atLeas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否</w:t>
            </w:r>
          </w:p>
        </w:tc>
      </w:tr>
    </w:tbl>
    <w:p w14:paraId="2FF9A86A">
      <w:pPr>
        <w:pStyle w:val="10"/>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14:paraId="51441EF1">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val="en-US" w:eastAsia="zh-CN"/>
        </w:rPr>
        <w:t>本单位无此事项。</w:t>
      </w:r>
    </w:p>
    <w:p w14:paraId="54C12347">
      <w:pPr>
        <w:pStyle w:val="10"/>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14:paraId="78928D69">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方正仿宋_GBK" w:hAnsi="宋体" w:eastAsia="方正仿宋_GBK" w:cs="宋体"/>
          <w:kern w:val="0"/>
          <w:sz w:val="32"/>
          <w:szCs w:val="32"/>
        </w:rPr>
        <w:t>我单位已对4个项目开展了绩效自评，执行率均为100%。</w:t>
      </w:r>
      <w:r>
        <w:rPr>
          <w:rFonts w:hint="eastAsia" w:ascii="宋体" w:hAnsi="宋体" w:eastAsia="方正楷体_GBK" w:cs="方正楷体_GBK"/>
          <w:color w:val="333333"/>
          <w:sz w:val="32"/>
          <w:szCs w:val="32"/>
        </w:rPr>
        <w:t>（三）重点绩效评价结果</w:t>
      </w:r>
    </w:p>
    <w:p w14:paraId="5FDE13DE">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14:paraId="507F212F">
      <w:pPr>
        <w:pStyle w:val="10"/>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14:paraId="20DFBAD4">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部门应根据实际情况对专业名词进行解释，不得遗漏。</w:t>
      </w:r>
      <w:r>
        <w:rPr>
          <w:rFonts w:hint="eastAsia" w:ascii="宋体" w:hAnsi="宋体" w:eastAsia="方正仿宋_GBK" w:cs="方正仿宋_GBK"/>
          <w:sz w:val="32"/>
          <w:szCs w:val="32"/>
          <w:lang w:val="en-US" w:eastAsia="zh-CN"/>
        </w:rPr>
        <w:t>示例：</w:t>
      </w:r>
    </w:p>
    <w:p w14:paraId="2C3112D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571948E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04CB71C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A781B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14:paraId="6429A5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49365F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1B929EC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05F9F81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68FD08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717B4E4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E4C87E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7023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034EFD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3C673EC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4A5D70F7">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758858DE">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41C4ED6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1570D65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联系人：辛静</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联系电话：47537363</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04C57">
    <w:pPr>
      <w:pStyle w:val="4"/>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7A92">
    <w:pPr>
      <w:pStyle w:val="4"/>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FC092FFC"/>
    <w:multiLevelType w:val="singleLevel"/>
    <w:tmpl w:val="FC092FFC"/>
    <w:lvl w:ilvl="0" w:tentative="0">
      <w:start w:val="1"/>
      <w:numFmt w:val="decimal"/>
      <w:suff w:val="nothing"/>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28DE"/>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167F"/>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4B9"/>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32D5A"/>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1E1FE4"/>
    <w:rsid w:val="013A3F8C"/>
    <w:rsid w:val="013C246A"/>
    <w:rsid w:val="01565C22"/>
    <w:rsid w:val="01626E33"/>
    <w:rsid w:val="01633E9B"/>
    <w:rsid w:val="017A2F9F"/>
    <w:rsid w:val="01B36BD0"/>
    <w:rsid w:val="01B67107"/>
    <w:rsid w:val="01EA636A"/>
    <w:rsid w:val="01FB2325"/>
    <w:rsid w:val="020F6D27"/>
    <w:rsid w:val="02217C74"/>
    <w:rsid w:val="02477318"/>
    <w:rsid w:val="026359B2"/>
    <w:rsid w:val="026B7642"/>
    <w:rsid w:val="02AC542A"/>
    <w:rsid w:val="02D768EE"/>
    <w:rsid w:val="02DD1A2B"/>
    <w:rsid w:val="02EB4148"/>
    <w:rsid w:val="02FE031F"/>
    <w:rsid w:val="031E451D"/>
    <w:rsid w:val="035C6DF3"/>
    <w:rsid w:val="038E49EB"/>
    <w:rsid w:val="03A45696"/>
    <w:rsid w:val="03B74B35"/>
    <w:rsid w:val="03D862B6"/>
    <w:rsid w:val="03E70DB3"/>
    <w:rsid w:val="03F1578E"/>
    <w:rsid w:val="03FB4D0B"/>
    <w:rsid w:val="045B484E"/>
    <w:rsid w:val="047841EE"/>
    <w:rsid w:val="048E7480"/>
    <w:rsid w:val="04A56073"/>
    <w:rsid w:val="04AD2B7D"/>
    <w:rsid w:val="04C64E6C"/>
    <w:rsid w:val="04E13A54"/>
    <w:rsid w:val="04E841EF"/>
    <w:rsid w:val="050553B0"/>
    <w:rsid w:val="05081AD1"/>
    <w:rsid w:val="05121E5F"/>
    <w:rsid w:val="052E6699"/>
    <w:rsid w:val="05355B4E"/>
    <w:rsid w:val="056A3A4A"/>
    <w:rsid w:val="05720B50"/>
    <w:rsid w:val="057728DC"/>
    <w:rsid w:val="05912D04"/>
    <w:rsid w:val="05C1448E"/>
    <w:rsid w:val="05C1761D"/>
    <w:rsid w:val="05D90398"/>
    <w:rsid w:val="05E52FAD"/>
    <w:rsid w:val="0600615C"/>
    <w:rsid w:val="060A24AD"/>
    <w:rsid w:val="063D115E"/>
    <w:rsid w:val="0659586C"/>
    <w:rsid w:val="065D535C"/>
    <w:rsid w:val="06BB4119"/>
    <w:rsid w:val="06BE5F42"/>
    <w:rsid w:val="07106873"/>
    <w:rsid w:val="07442078"/>
    <w:rsid w:val="07640956"/>
    <w:rsid w:val="07A34544"/>
    <w:rsid w:val="07B76CEE"/>
    <w:rsid w:val="07BB67DE"/>
    <w:rsid w:val="07E13D6B"/>
    <w:rsid w:val="07FD6DF7"/>
    <w:rsid w:val="08190B33"/>
    <w:rsid w:val="082D2D8F"/>
    <w:rsid w:val="082F2D28"/>
    <w:rsid w:val="08326375"/>
    <w:rsid w:val="087846CF"/>
    <w:rsid w:val="08C10882"/>
    <w:rsid w:val="08C7668D"/>
    <w:rsid w:val="08CC205B"/>
    <w:rsid w:val="08DB1609"/>
    <w:rsid w:val="08F31FA8"/>
    <w:rsid w:val="09327D67"/>
    <w:rsid w:val="093A3733"/>
    <w:rsid w:val="09497E1A"/>
    <w:rsid w:val="095E1B17"/>
    <w:rsid w:val="09736C45"/>
    <w:rsid w:val="097859D4"/>
    <w:rsid w:val="09823D8A"/>
    <w:rsid w:val="09C9617E"/>
    <w:rsid w:val="0A187F18"/>
    <w:rsid w:val="0A280DE4"/>
    <w:rsid w:val="0A2D21B2"/>
    <w:rsid w:val="0A544CC8"/>
    <w:rsid w:val="0A5C1147"/>
    <w:rsid w:val="0A740EC6"/>
    <w:rsid w:val="0A751EDD"/>
    <w:rsid w:val="0A862455"/>
    <w:rsid w:val="0AB177F2"/>
    <w:rsid w:val="0AB319EF"/>
    <w:rsid w:val="0ADF27E4"/>
    <w:rsid w:val="0AEC3562"/>
    <w:rsid w:val="0B13248D"/>
    <w:rsid w:val="0B447CC4"/>
    <w:rsid w:val="0B470389"/>
    <w:rsid w:val="0B5C19F8"/>
    <w:rsid w:val="0B5F3925"/>
    <w:rsid w:val="0B61144B"/>
    <w:rsid w:val="0B6B4922"/>
    <w:rsid w:val="0B840250"/>
    <w:rsid w:val="0B867103"/>
    <w:rsid w:val="0B9E444D"/>
    <w:rsid w:val="0BBB1C03"/>
    <w:rsid w:val="0BBD1CFB"/>
    <w:rsid w:val="0BC63C92"/>
    <w:rsid w:val="0BCF0AAA"/>
    <w:rsid w:val="0BCF17F7"/>
    <w:rsid w:val="0BF91683"/>
    <w:rsid w:val="0C122409"/>
    <w:rsid w:val="0C1A7343"/>
    <w:rsid w:val="0C210BDA"/>
    <w:rsid w:val="0C3628D7"/>
    <w:rsid w:val="0C3C56A3"/>
    <w:rsid w:val="0C3E1C6B"/>
    <w:rsid w:val="0C632FA1"/>
    <w:rsid w:val="0C803B53"/>
    <w:rsid w:val="0C8969E3"/>
    <w:rsid w:val="0C8D0553"/>
    <w:rsid w:val="0C994F52"/>
    <w:rsid w:val="0CAE6912"/>
    <w:rsid w:val="0CB437FC"/>
    <w:rsid w:val="0CB6160D"/>
    <w:rsid w:val="0CD563F7"/>
    <w:rsid w:val="0D074274"/>
    <w:rsid w:val="0D3D7C96"/>
    <w:rsid w:val="0D4A231C"/>
    <w:rsid w:val="0D4D6A15"/>
    <w:rsid w:val="0D7F3E0A"/>
    <w:rsid w:val="0D837D9E"/>
    <w:rsid w:val="0DA606A3"/>
    <w:rsid w:val="0DBA0DC1"/>
    <w:rsid w:val="0DBF68FD"/>
    <w:rsid w:val="0DCE605A"/>
    <w:rsid w:val="0DF2282E"/>
    <w:rsid w:val="0E121122"/>
    <w:rsid w:val="0E5158C5"/>
    <w:rsid w:val="0EA66A76"/>
    <w:rsid w:val="0EAD6E68"/>
    <w:rsid w:val="0EAF6971"/>
    <w:rsid w:val="0EB15612"/>
    <w:rsid w:val="0ECF621B"/>
    <w:rsid w:val="0EEA1757"/>
    <w:rsid w:val="0EFB5876"/>
    <w:rsid w:val="0F107EE3"/>
    <w:rsid w:val="0F3B4594"/>
    <w:rsid w:val="0F4603E9"/>
    <w:rsid w:val="0F490B74"/>
    <w:rsid w:val="0F5D6174"/>
    <w:rsid w:val="0F8109EA"/>
    <w:rsid w:val="0F931176"/>
    <w:rsid w:val="0FC0132B"/>
    <w:rsid w:val="0FC12710"/>
    <w:rsid w:val="0FCF39BD"/>
    <w:rsid w:val="100A1A0C"/>
    <w:rsid w:val="1016071E"/>
    <w:rsid w:val="10325A41"/>
    <w:rsid w:val="10645539"/>
    <w:rsid w:val="10656E2F"/>
    <w:rsid w:val="1084224C"/>
    <w:rsid w:val="10923E54"/>
    <w:rsid w:val="10A7395B"/>
    <w:rsid w:val="10A818CA"/>
    <w:rsid w:val="10DB232E"/>
    <w:rsid w:val="1113718A"/>
    <w:rsid w:val="114859F3"/>
    <w:rsid w:val="11500039"/>
    <w:rsid w:val="116577BB"/>
    <w:rsid w:val="116C6D9B"/>
    <w:rsid w:val="119C0C8C"/>
    <w:rsid w:val="11B5429E"/>
    <w:rsid w:val="11B5604C"/>
    <w:rsid w:val="11BF392E"/>
    <w:rsid w:val="11EC57E6"/>
    <w:rsid w:val="12072620"/>
    <w:rsid w:val="124D0479"/>
    <w:rsid w:val="12554B29"/>
    <w:rsid w:val="129E2F84"/>
    <w:rsid w:val="12AD3E7D"/>
    <w:rsid w:val="12B26A30"/>
    <w:rsid w:val="12C42FA0"/>
    <w:rsid w:val="12D20E80"/>
    <w:rsid w:val="12D35C61"/>
    <w:rsid w:val="12E0359D"/>
    <w:rsid w:val="12EA2F1A"/>
    <w:rsid w:val="130558D9"/>
    <w:rsid w:val="13424E21"/>
    <w:rsid w:val="13511DA5"/>
    <w:rsid w:val="1360648C"/>
    <w:rsid w:val="137F545A"/>
    <w:rsid w:val="13801D6F"/>
    <w:rsid w:val="13841A7B"/>
    <w:rsid w:val="138B759A"/>
    <w:rsid w:val="13F46315"/>
    <w:rsid w:val="13F64582"/>
    <w:rsid w:val="140D076E"/>
    <w:rsid w:val="140E2407"/>
    <w:rsid w:val="141F1F10"/>
    <w:rsid w:val="14406583"/>
    <w:rsid w:val="14611714"/>
    <w:rsid w:val="14667AD2"/>
    <w:rsid w:val="147A532B"/>
    <w:rsid w:val="147B3E75"/>
    <w:rsid w:val="14CF05AD"/>
    <w:rsid w:val="14CF3275"/>
    <w:rsid w:val="14E8356B"/>
    <w:rsid w:val="14EB3F48"/>
    <w:rsid w:val="14FD41CB"/>
    <w:rsid w:val="1537146E"/>
    <w:rsid w:val="15546C2C"/>
    <w:rsid w:val="15673B02"/>
    <w:rsid w:val="15785D0F"/>
    <w:rsid w:val="158240BB"/>
    <w:rsid w:val="15E46F00"/>
    <w:rsid w:val="15F230E6"/>
    <w:rsid w:val="160D5A33"/>
    <w:rsid w:val="164B77DE"/>
    <w:rsid w:val="164D0F49"/>
    <w:rsid w:val="164E5E0B"/>
    <w:rsid w:val="16556050"/>
    <w:rsid w:val="16AE139D"/>
    <w:rsid w:val="16AE750E"/>
    <w:rsid w:val="16DF3B6C"/>
    <w:rsid w:val="16EA49EA"/>
    <w:rsid w:val="16ED6288"/>
    <w:rsid w:val="172D2B29"/>
    <w:rsid w:val="17424826"/>
    <w:rsid w:val="17532A55"/>
    <w:rsid w:val="1763654B"/>
    <w:rsid w:val="17932EDC"/>
    <w:rsid w:val="17A36DDB"/>
    <w:rsid w:val="17A532AB"/>
    <w:rsid w:val="17EE22B8"/>
    <w:rsid w:val="1805733B"/>
    <w:rsid w:val="180B07AE"/>
    <w:rsid w:val="181A2360"/>
    <w:rsid w:val="181F4708"/>
    <w:rsid w:val="18221462"/>
    <w:rsid w:val="184F1121"/>
    <w:rsid w:val="185B2A86"/>
    <w:rsid w:val="18754787"/>
    <w:rsid w:val="187D53EA"/>
    <w:rsid w:val="188977EB"/>
    <w:rsid w:val="188B210B"/>
    <w:rsid w:val="18A40BC9"/>
    <w:rsid w:val="18B7482A"/>
    <w:rsid w:val="18C66253"/>
    <w:rsid w:val="18CD5743"/>
    <w:rsid w:val="18FA6A3B"/>
    <w:rsid w:val="190C26B8"/>
    <w:rsid w:val="192835A8"/>
    <w:rsid w:val="19377C8F"/>
    <w:rsid w:val="195919B3"/>
    <w:rsid w:val="197B50D2"/>
    <w:rsid w:val="197C1B46"/>
    <w:rsid w:val="19926875"/>
    <w:rsid w:val="19AD1CFF"/>
    <w:rsid w:val="19AE61A3"/>
    <w:rsid w:val="19D90D46"/>
    <w:rsid w:val="19F636A6"/>
    <w:rsid w:val="1A1D0C33"/>
    <w:rsid w:val="1A297DDD"/>
    <w:rsid w:val="1A3A7A37"/>
    <w:rsid w:val="1A604FC3"/>
    <w:rsid w:val="1A7919B9"/>
    <w:rsid w:val="1A824F3A"/>
    <w:rsid w:val="1B0818E3"/>
    <w:rsid w:val="1B1350D9"/>
    <w:rsid w:val="1B574618"/>
    <w:rsid w:val="1B701236"/>
    <w:rsid w:val="1B9A7C0E"/>
    <w:rsid w:val="1B9B203B"/>
    <w:rsid w:val="1BB90A50"/>
    <w:rsid w:val="1BE834C2"/>
    <w:rsid w:val="1BFD1CC9"/>
    <w:rsid w:val="1C0F0A4F"/>
    <w:rsid w:val="1C40413D"/>
    <w:rsid w:val="1C96385A"/>
    <w:rsid w:val="1CAA0778"/>
    <w:rsid w:val="1CE92F5C"/>
    <w:rsid w:val="1CFC7225"/>
    <w:rsid w:val="1D437979"/>
    <w:rsid w:val="1D4708B1"/>
    <w:rsid w:val="1D5726AE"/>
    <w:rsid w:val="1D656164"/>
    <w:rsid w:val="1E054F96"/>
    <w:rsid w:val="1E14234D"/>
    <w:rsid w:val="1E3D7AF5"/>
    <w:rsid w:val="1E71779F"/>
    <w:rsid w:val="1E803E86"/>
    <w:rsid w:val="1E8900BD"/>
    <w:rsid w:val="1ECB269E"/>
    <w:rsid w:val="1ECE4BF1"/>
    <w:rsid w:val="1EE66C3C"/>
    <w:rsid w:val="1EF96BEA"/>
    <w:rsid w:val="1F116510"/>
    <w:rsid w:val="1F1C3B7B"/>
    <w:rsid w:val="1F672950"/>
    <w:rsid w:val="1F8F4381"/>
    <w:rsid w:val="1FE406D4"/>
    <w:rsid w:val="200551AB"/>
    <w:rsid w:val="201900EE"/>
    <w:rsid w:val="20216FA3"/>
    <w:rsid w:val="202C7E22"/>
    <w:rsid w:val="205932DE"/>
    <w:rsid w:val="20684BD2"/>
    <w:rsid w:val="20A03801"/>
    <w:rsid w:val="20BC5FF2"/>
    <w:rsid w:val="21582E98"/>
    <w:rsid w:val="21731A80"/>
    <w:rsid w:val="219D4F8D"/>
    <w:rsid w:val="21BA320B"/>
    <w:rsid w:val="21CE6CB6"/>
    <w:rsid w:val="21D267A7"/>
    <w:rsid w:val="222807B1"/>
    <w:rsid w:val="22435D4E"/>
    <w:rsid w:val="2245419D"/>
    <w:rsid w:val="225E3FD7"/>
    <w:rsid w:val="226F2247"/>
    <w:rsid w:val="22A16179"/>
    <w:rsid w:val="22F83FEB"/>
    <w:rsid w:val="22FE317D"/>
    <w:rsid w:val="23272B22"/>
    <w:rsid w:val="234436D4"/>
    <w:rsid w:val="2366364A"/>
    <w:rsid w:val="237704D4"/>
    <w:rsid w:val="237B69CA"/>
    <w:rsid w:val="23891077"/>
    <w:rsid w:val="23A1558C"/>
    <w:rsid w:val="23AF102D"/>
    <w:rsid w:val="23B1063E"/>
    <w:rsid w:val="23BE50B1"/>
    <w:rsid w:val="23D9206E"/>
    <w:rsid w:val="23E26A49"/>
    <w:rsid w:val="241A61E3"/>
    <w:rsid w:val="241C2200"/>
    <w:rsid w:val="2422161E"/>
    <w:rsid w:val="245E4322"/>
    <w:rsid w:val="246E6851"/>
    <w:rsid w:val="2480073C"/>
    <w:rsid w:val="24834F09"/>
    <w:rsid w:val="24942E5E"/>
    <w:rsid w:val="24954F65"/>
    <w:rsid w:val="24C7511E"/>
    <w:rsid w:val="24DB5972"/>
    <w:rsid w:val="25665B84"/>
    <w:rsid w:val="25777865"/>
    <w:rsid w:val="257F04AC"/>
    <w:rsid w:val="25BA7C7E"/>
    <w:rsid w:val="25E53B95"/>
    <w:rsid w:val="25EB17AB"/>
    <w:rsid w:val="25FF1317"/>
    <w:rsid w:val="26123616"/>
    <w:rsid w:val="263317DE"/>
    <w:rsid w:val="26357304"/>
    <w:rsid w:val="26487E8F"/>
    <w:rsid w:val="266362EA"/>
    <w:rsid w:val="26655E3B"/>
    <w:rsid w:val="266B71CA"/>
    <w:rsid w:val="26791D53"/>
    <w:rsid w:val="267F0AD4"/>
    <w:rsid w:val="268362C1"/>
    <w:rsid w:val="26867B60"/>
    <w:rsid w:val="268A5041"/>
    <w:rsid w:val="269A59A1"/>
    <w:rsid w:val="26D96305"/>
    <w:rsid w:val="26E96527"/>
    <w:rsid w:val="27007912"/>
    <w:rsid w:val="270D3E41"/>
    <w:rsid w:val="271B0A23"/>
    <w:rsid w:val="27293F76"/>
    <w:rsid w:val="27351CB2"/>
    <w:rsid w:val="27444CE5"/>
    <w:rsid w:val="274E4B21"/>
    <w:rsid w:val="275642B6"/>
    <w:rsid w:val="2797346E"/>
    <w:rsid w:val="27984D8A"/>
    <w:rsid w:val="27BF5A1F"/>
    <w:rsid w:val="27CC625C"/>
    <w:rsid w:val="27F76F67"/>
    <w:rsid w:val="27FF1758"/>
    <w:rsid w:val="28026E78"/>
    <w:rsid w:val="28096C9A"/>
    <w:rsid w:val="28406D20"/>
    <w:rsid w:val="285745A9"/>
    <w:rsid w:val="28604488"/>
    <w:rsid w:val="287F60B2"/>
    <w:rsid w:val="28844573"/>
    <w:rsid w:val="28FB65E3"/>
    <w:rsid w:val="28FE4325"/>
    <w:rsid w:val="29192F0D"/>
    <w:rsid w:val="29237CA4"/>
    <w:rsid w:val="29565F0F"/>
    <w:rsid w:val="29696297"/>
    <w:rsid w:val="297011FE"/>
    <w:rsid w:val="29733D0B"/>
    <w:rsid w:val="29785E86"/>
    <w:rsid w:val="29934A6D"/>
    <w:rsid w:val="29F90436"/>
    <w:rsid w:val="29FF1B5A"/>
    <w:rsid w:val="2A0616E3"/>
    <w:rsid w:val="2A254E63"/>
    <w:rsid w:val="2A275D31"/>
    <w:rsid w:val="2A4915D0"/>
    <w:rsid w:val="2A572164"/>
    <w:rsid w:val="2A5F0DF4"/>
    <w:rsid w:val="2A8A66C2"/>
    <w:rsid w:val="2AAD1B5F"/>
    <w:rsid w:val="2AAF3B29"/>
    <w:rsid w:val="2AB27175"/>
    <w:rsid w:val="2AB4113F"/>
    <w:rsid w:val="2AC60E73"/>
    <w:rsid w:val="2AE168E0"/>
    <w:rsid w:val="2AF84D34"/>
    <w:rsid w:val="2B255B99"/>
    <w:rsid w:val="2B2F33CE"/>
    <w:rsid w:val="2B762790"/>
    <w:rsid w:val="2B82123D"/>
    <w:rsid w:val="2B822FEC"/>
    <w:rsid w:val="2B9B40AD"/>
    <w:rsid w:val="2BAC2B14"/>
    <w:rsid w:val="2BBE7D9C"/>
    <w:rsid w:val="2BC73FBA"/>
    <w:rsid w:val="2BFF60E5"/>
    <w:rsid w:val="2C0042E3"/>
    <w:rsid w:val="2C0D59AC"/>
    <w:rsid w:val="2C1136E9"/>
    <w:rsid w:val="2C2D5D74"/>
    <w:rsid w:val="2C334F61"/>
    <w:rsid w:val="2C3D20DB"/>
    <w:rsid w:val="2C697D08"/>
    <w:rsid w:val="2C71221F"/>
    <w:rsid w:val="2C715093"/>
    <w:rsid w:val="2C8B4122"/>
    <w:rsid w:val="2CBA0563"/>
    <w:rsid w:val="2CD535EF"/>
    <w:rsid w:val="2CF55D49"/>
    <w:rsid w:val="2CF75D34"/>
    <w:rsid w:val="2CF9552F"/>
    <w:rsid w:val="2CFB12A7"/>
    <w:rsid w:val="2D2500D2"/>
    <w:rsid w:val="2DBD4A63"/>
    <w:rsid w:val="2DDB0952"/>
    <w:rsid w:val="2DF45CF7"/>
    <w:rsid w:val="2E0221C2"/>
    <w:rsid w:val="2E0B376C"/>
    <w:rsid w:val="2E0C46C8"/>
    <w:rsid w:val="2E0E6DB8"/>
    <w:rsid w:val="2E150147"/>
    <w:rsid w:val="2E2A738E"/>
    <w:rsid w:val="2E352597"/>
    <w:rsid w:val="2E4A0CBE"/>
    <w:rsid w:val="2E5073D1"/>
    <w:rsid w:val="2E8C4181"/>
    <w:rsid w:val="2EAB46F5"/>
    <w:rsid w:val="2EB84F76"/>
    <w:rsid w:val="2EC6420A"/>
    <w:rsid w:val="2ECE6548"/>
    <w:rsid w:val="2EDF69A7"/>
    <w:rsid w:val="2EF3059D"/>
    <w:rsid w:val="2F1C3DF2"/>
    <w:rsid w:val="2F2C0A85"/>
    <w:rsid w:val="2F414FFF"/>
    <w:rsid w:val="2F650C5A"/>
    <w:rsid w:val="2F860BD0"/>
    <w:rsid w:val="2F8C268B"/>
    <w:rsid w:val="2F8D5831"/>
    <w:rsid w:val="2FA6445E"/>
    <w:rsid w:val="2FAC25DB"/>
    <w:rsid w:val="2FAF3097"/>
    <w:rsid w:val="2FB617C0"/>
    <w:rsid w:val="300C6664"/>
    <w:rsid w:val="30450B4E"/>
    <w:rsid w:val="30465275"/>
    <w:rsid w:val="30A842E9"/>
    <w:rsid w:val="31061102"/>
    <w:rsid w:val="312E1520"/>
    <w:rsid w:val="3143321D"/>
    <w:rsid w:val="317F1D7B"/>
    <w:rsid w:val="31A04CAD"/>
    <w:rsid w:val="31A70211"/>
    <w:rsid w:val="31AD4B3A"/>
    <w:rsid w:val="31B15053"/>
    <w:rsid w:val="31ED4F37"/>
    <w:rsid w:val="32056724"/>
    <w:rsid w:val="320A79AF"/>
    <w:rsid w:val="322E7A29"/>
    <w:rsid w:val="3256082B"/>
    <w:rsid w:val="3263309E"/>
    <w:rsid w:val="327D7E69"/>
    <w:rsid w:val="327F0285"/>
    <w:rsid w:val="32826152"/>
    <w:rsid w:val="32EC51EE"/>
    <w:rsid w:val="33116010"/>
    <w:rsid w:val="331546C4"/>
    <w:rsid w:val="33332E1D"/>
    <w:rsid w:val="335A484E"/>
    <w:rsid w:val="33656AA9"/>
    <w:rsid w:val="33680D19"/>
    <w:rsid w:val="33782EB9"/>
    <w:rsid w:val="339064C2"/>
    <w:rsid w:val="33A16094"/>
    <w:rsid w:val="33DF6B01"/>
    <w:rsid w:val="33E6234B"/>
    <w:rsid w:val="33F80618"/>
    <w:rsid w:val="340E49EF"/>
    <w:rsid w:val="342C7F98"/>
    <w:rsid w:val="344A2B14"/>
    <w:rsid w:val="34594B05"/>
    <w:rsid w:val="34627E5E"/>
    <w:rsid w:val="3465554A"/>
    <w:rsid w:val="34983DE3"/>
    <w:rsid w:val="34A64D07"/>
    <w:rsid w:val="34B10AAC"/>
    <w:rsid w:val="34BF6C35"/>
    <w:rsid w:val="34F5635F"/>
    <w:rsid w:val="351153E0"/>
    <w:rsid w:val="352B64A2"/>
    <w:rsid w:val="352D221A"/>
    <w:rsid w:val="354811BC"/>
    <w:rsid w:val="35521A2B"/>
    <w:rsid w:val="355E472E"/>
    <w:rsid w:val="356D0868"/>
    <w:rsid w:val="357339A5"/>
    <w:rsid w:val="359E40E8"/>
    <w:rsid w:val="35BA7826"/>
    <w:rsid w:val="35C22B6B"/>
    <w:rsid w:val="35EA737B"/>
    <w:rsid w:val="35ED19A9"/>
    <w:rsid w:val="360D5BA8"/>
    <w:rsid w:val="362F5B1E"/>
    <w:rsid w:val="3635536D"/>
    <w:rsid w:val="36511F38"/>
    <w:rsid w:val="36706ADF"/>
    <w:rsid w:val="36833C5C"/>
    <w:rsid w:val="36891BB4"/>
    <w:rsid w:val="36A129F2"/>
    <w:rsid w:val="36B3095D"/>
    <w:rsid w:val="36D22597"/>
    <w:rsid w:val="36F56D67"/>
    <w:rsid w:val="37025FC2"/>
    <w:rsid w:val="371719A6"/>
    <w:rsid w:val="371E35B2"/>
    <w:rsid w:val="37564D03"/>
    <w:rsid w:val="37751EC2"/>
    <w:rsid w:val="3781684D"/>
    <w:rsid w:val="37C77C1E"/>
    <w:rsid w:val="38206066"/>
    <w:rsid w:val="384007BC"/>
    <w:rsid w:val="386A72E1"/>
    <w:rsid w:val="388010B8"/>
    <w:rsid w:val="388F220D"/>
    <w:rsid w:val="38C70290"/>
    <w:rsid w:val="38F65019"/>
    <w:rsid w:val="38FA6DBA"/>
    <w:rsid w:val="390A09F1"/>
    <w:rsid w:val="390E5CB1"/>
    <w:rsid w:val="39365415"/>
    <w:rsid w:val="39474657"/>
    <w:rsid w:val="394E2214"/>
    <w:rsid w:val="399A1E48"/>
    <w:rsid w:val="39A10C32"/>
    <w:rsid w:val="39B20F40"/>
    <w:rsid w:val="39CC7911"/>
    <w:rsid w:val="39D17933"/>
    <w:rsid w:val="39E44839"/>
    <w:rsid w:val="3A457B72"/>
    <w:rsid w:val="3A483652"/>
    <w:rsid w:val="3A4A2286"/>
    <w:rsid w:val="3A52002D"/>
    <w:rsid w:val="3A7E52C6"/>
    <w:rsid w:val="3A8A17C8"/>
    <w:rsid w:val="3A8F1281"/>
    <w:rsid w:val="3AA6726B"/>
    <w:rsid w:val="3AE80991"/>
    <w:rsid w:val="3AE82075"/>
    <w:rsid w:val="3AF64E5C"/>
    <w:rsid w:val="3B017FBE"/>
    <w:rsid w:val="3B307A72"/>
    <w:rsid w:val="3B9335A4"/>
    <w:rsid w:val="3B992613"/>
    <w:rsid w:val="3BB24F73"/>
    <w:rsid w:val="3BBF16F2"/>
    <w:rsid w:val="3BCD490E"/>
    <w:rsid w:val="3BDB6726"/>
    <w:rsid w:val="3BE61375"/>
    <w:rsid w:val="3C056780"/>
    <w:rsid w:val="3C0B3B20"/>
    <w:rsid w:val="3C1860E9"/>
    <w:rsid w:val="3C1A101E"/>
    <w:rsid w:val="3C265FAB"/>
    <w:rsid w:val="3C320116"/>
    <w:rsid w:val="3C45620B"/>
    <w:rsid w:val="3CCA65A0"/>
    <w:rsid w:val="3CDB07AE"/>
    <w:rsid w:val="3D3954D4"/>
    <w:rsid w:val="3D430101"/>
    <w:rsid w:val="3D6C58AA"/>
    <w:rsid w:val="3D6F0EF6"/>
    <w:rsid w:val="3D7312A1"/>
    <w:rsid w:val="3D8250CD"/>
    <w:rsid w:val="3D8F2FFE"/>
    <w:rsid w:val="3D8F779B"/>
    <w:rsid w:val="3DB31849"/>
    <w:rsid w:val="3DBD7EB3"/>
    <w:rsid w:val="3DC01751"/>
    <w:rsid w:val="3DD1570D"/>
    <w:rsid w:val="3DE25B6C"/>
    <w:rsid w:val="3DE2791A"/>
    <w:rsid w:val="3E15702B"/>
    <w:rsid w:val="3E18349B"/>
    <w:rsid w:val="3E247857"/>
    <w:rsid w:val="3E5B2140"/>
    <w:rsid w:val="3E7762B4"/>
    <w:rsid w:val="3E976956"/>
    <w:rsid w:val="3E984240"/>
    <w:rsid w:val="3EAD34C3"/>
    <w:rsid w:val="3EB23790"/>
    <w:rsid w:val="3EBC222A"/>
    <w:rsid w:val="3EBE7C37"/>
    <w:rsid w:val="3EC75002"/>
    <w:rsid w:val="3EDF3E59"/>
    <w:rsid w:val="3EE37DED"/>
    <w:rsid w:val="3EF43DA9"/>
    <w:rsid w:val="3EFC4A0B"/>
    <w:rsid w:val="3F120426"/>
    <w:rsid w:val="3F1976B6"/>
    <w:rsid w:val="3F520ACF"/>
    <w:rsid w:val="3F5E6431"/>
    <w:rsid w:val="3F8C0907"/>
    <w:rsid w:val="3F9B06C8"/>
    <w:rsid w:val="3F9B5E29"/>
    <w:rsid w:val="3FA96941"/>
    <w:rsid w:val="3FB53538"/>
    <w:rsid w:val="3FBA0B4E"/>
    <w:rsid w:val="3FF43934"/>
    <w:rsid w:val="400454FD"/>
    <w:rsid w:val="401A339B"/>
    <w:rsid w:val="405368AD"/>
    <w:rsid w:val="40552C1F"/>
    <w:rsid w:val="4057229F"/>
    <w:rsid w:val="405F7DEE"/>
    <w:rsid w:val="40992FB0"/>
    <w:rsid w:val="409A272E"/>
    <w:rsid w:val="40DB7824"/>
    <w:rsid w:val="410115DD"/>
    <w:rsid w:val="41526B64"/>
    <w:rsid w:val="418A21AD"/>
    <w:rsid w:val="418E68CE"/>
    <w:rsid w:val="41A212A1"/>
    <w:rsid w:val="41EC42BB"/>
    <w:rsid w:val="4239228E"/>
    <w:rsid w:val="42521512"/>
    <w:rsid w:val="42635A07"/>
    <w:rsid w:val="427F1BDB"/>
    <w:rsid w:val="42864D18"/>
    <w:rsid w:val="428A1304"/>
    <w:rsid w:val="42DF08CC"/>
    <w:rsid w:val="42E44C98"/>
    <w:rsid w:val="42E934F8"/>
    <w:rsid w:val="42E94CF2"/>
    <w:rsid w:val="42EF4FB3"/>
    <w:rsid w:val="43056584"/>
    <w:rsid w:val="431B6113"/>
    <w:rsid w:val="438834DF"/>
    <w:rsid w:val="438A0837"/>
    <w:rsid w:val="438C2802"/>
    <w:rsid w:val="43A20A3C"/>
    <w:rsid w:val="43B371D1"/>
    <w:rsid w:val="43E20674"/>
    <w:rsid w:val="440B4462"/>
    <w:rsid w:val="444C66C3"/>
    <w:rsid w:val="44630F9F"/>
    <w:rsid w:val="446A3603"/>
    <w:rsid w:val="44F56185"/>
    <w:rsid w:val="4565330A"/>
    <w:rsid w:val="457856E3"/>
    <w:rsid w:val="458B573C"/>
    <w:rsid w:val="45CE60A3"/>
    <w:rsid w:val="461C57E1"/>
    <w:rsid w:val="4646138E"/>
    <w:rsid w:val="464D2106"/>
    <w:rsid w:val="46572A53"/>
    <w:rsid w:val="465B2718"/>
    <w:rsid w:val="46651F6D"/>
    <w:rsid w:val="467E645B"/>
    <w:rsid w:val="46AA2F9F"/>
    <w:rsid w:val="46B06DAB"/>
    <w:rsid w:val="46BE763A"/>
    <w:rsid w:val="46C178CC"/>
    <w:rsid w:val="46CC73B9"/>
    <w:rsid w:val="46DF70EC"/>
    <w:rsid w:val="46EE5581"/>
    <w:rsid w:val="46F31024"/>
    <w:rsid w:val="46FD3AFE"/>
    <w:rsid w:val="471E0A34"/>
    <w:rsid w:val="4723739A"/>
    <w:rsid w:val="47250EF5"/>
    <w:rsid w:val="47501D98"/>
    <w:rsid w:val="47833F1C"/>
    <w:rsid w:val="47A0687C"/>
    <w:rsid w:val="47A67C0A"/>
    <w:rsid w:val="47B7493F"/>
    <w:rsid w:val="47B916EB"/>
    <w:rsid w:val="47C21415"/>
    <w:rsid w:val="47D94CF8"/>
    <w:rsid w:val="47DC187E"/>
    <w:rsid w:val="48206AB3"/>
    <w:rsid w:val="4823125B"/>
    <w:rsid w:val="4849652E"/>
    <w:rsid w:val="487415C1"/>
    <w:rsid w:val="48813383"/>
    <w:rsid w:val="48994869"/>
    <w:rsid w:val="489B6E47"/>
    <w:rsid w:val="489F4D85"/>
    <w:rsid w:val="48B91344"/>
    <w:rsid w:val="48BC5937"/>
    <w:rsid w:val="48C32343"/>
    <w:rsid w:val="48C3403D"/>
    <w:rsid w:val="4901682D"/>
    <w:rsid w:val="491F1E3E"/>
    <w:rsid w:val="492E42B5"/>
    <w:rsid w:val="49747FC0"/>
    <w:rsid w:val="497E4D40"/>
    <w:rsid w:val="498D6EB3"/>
    <w:rsid w:val="49A14844"/>
    <w:rsid w:val="49B760FE"/>
    <w:rsid w:val="49CA5E32"/>
    <w:rsid w:val="49D722FD"/>
    <w:rsid w:val="49F7299F"/>
    <w:rsid w:val="4A0F1A96"/>
    <w:rsid w:val="4A2117CA"/>
    <w:rsid w:val="4A38329E"/>
    <w:rsid w:val="4A58168F"/>
    <w:rsid w:val="4A5949B9"/>
    <w:rsid w:val="4A786E7C"/>
    <w:rsid w:val="4A812037"/>
    <w:rsid w:val="4ABC11A4"/>
    <w:rsid w:val="4ABF0429"/>
    <w:rsid w:val="4AC705C3"/>
    <w:rsid w:val="4AE30423"/>
    <w:rsid w:val="4B05514E"/>
    <w:rsid w:val="4B074E64"/>
    <w:rsid w:val="4B26353C"/>
    <w:rsid w:val="4B27365D"/>
    <w:rsid w:val="4B7D224D"/>
    <w:rsid w:val="4B88354F"/>
    <w:rsid w:val="4B897577"/>
    <w:rsid w:val="4BA739F3"/>
    <w:rsid w:val="4BAA41B4"/>
    <w:rsid w:val="4BBC0AAB"/>
    <w:rsid w:val="4BCA5B3F"/>
    <w:rsid w:val="4BCB2F27"/>
    <w:rsid w:val="4BD72A88"/>
    <w:rsid w:val="4BEF3793"/>
    <w:rsid w:val="4BF12C42"/>
    <w:rsid w:val="4BF4339D"/>
    <w:rsid w:val="4C06511B"/>
    <w:rsid w:val="4C5B5467"/>
    <w:rsid w:val="4C8B29AF"/>
    <w:rsid w:val="4C9B5863"/>
    <w:rsid w:val="4CA010BB"/>
    <w:rsid w:val="4CBA3F1B"/>
    <w:rsid w:val="4CC1550E"/>
    <w:rsid w:val="4CCB5B06"/>
    <w:rsid w:val="4CEA2347"/>
    <w:rsid w:val="4D0A37F3"/>
    <w:rsid w:val="4D113D78"/>
    <w:rsid w:val="4D16313C"/>
    <w:rsid w:val="4D380018"/>
    <w:rsid w:val="4D461C73"/>
    <w:rsid w:val="4D5123C6"/>
    <w:rsid w:val="4D585803"/>
    <w:rsid w:val="4D7D0483"/>
    <w:rsid w:val="4D8712EF"/>
    <w:rsid w:val="4D88228C"/>
    <w:rsid w:val="4D901140"/>
    <w:rsid w:val="4D950505"/>
    <w:rsid w:val="4DEF230B"/>
    <w:rsid w:val="4DF80A94"/>
    <w:rsid w:val="4DFC778B"/>
    <w:rsid w:val="4E2D0EEC"/>
    <w:rsid w:val="4E467A51"/>
    <w:rsid w:val="4E4B5067"/>
    <w:rsid w:val="4E4C4964"/>
    <w:rsid w:val="4E577EB0"/>
    <w:rsid w:val="4E5F365E"/>
    <w:rsid w:val="4E91728C"/>
    <w:rsid w:val="4EEB3E01"/>
    <w:rsid w:val="4EF31987"/>
    <w:rsid w:val="4EF42EFE"/>
    <w:rsid w:val="4F027E1C"/>
    <w:rsid w:val="4F053468"/>
    <w:rsid w:val="4F0A4F22"/>
    <w:rsid w:val="4F2558B8"/>
    <w:rsid w:val="4F5A7C58"/>
    <w:rsid w:val="4F716D4F"/>
    <w:rsid w:val="4F8627FB"/>
    <w:rsid w:val="4F9B5B7A"/>
    <w:rsid w:val="4F9E3A79"/>
    <w:rsid w:val="4FA33112"/>
    <w:rsid w:val="4FB56C3C"/>
    <w:rsid w:val="4FDE358A"/>
    <w:rsid w:val="50016325"/>
    <w:rsid w:val="50125E3D"/>
    <w:rsid w:val="501832A3"/>
    <w:rsid w:val="50456315"/>
    <w:rsid w:val="50632B28"/>
    <w:rsid w:val="507E34D2"/>
    <w:rsid w:val="50C63B0F"/>
    <w:rsid w:val="50CA2BBB"/>
    <w:rsid w:val="50D13F4A"/>
    <w:rsid w:val="50D21A70"/>
    <w:rsid w:val="50DB0924"/>
    <w:rsid w:val="50F36C04"/>
    <w:rsid w:val="51011AC0"/>
    <w:rsid w:val="51086CD3"/>
    <w:rsid w:val="511B035E"/>
    <w:rsid w:val="511B51C5"/>
    <w:rsid w:val="512B6610"/>
    <w:rsid w:val="5144471C"/>
    <w:rsid w:val="517A3160"/>
    <w:rsid w:val="517F7502"/>
    <w:rsid w:val="51D33CF1"/>
    <w:rsid w:val="51D53FD0"/>
    <w:rsid w:val="51E27A91"/>
    <w:rsid w:val="51EA79A1"/>
    <w:rsid w:val="52522E68"/>
    <w:rsid w:val="527F0375"/>
    <w:rsid w:val="528D4348"/>
    <w:rsid w:val="52BF3EA5"/>
    <w:rsid w:val="52E5462F"/>
    <w:rsid w:val="53030193"/>
    <w:rsid w:val="53057EDB"/>
    <w:rsid w:val="531427EC"/>
    <w:rsid w:val="531B5939"/>
    <w:rsid w:val="531C785E"/>
    <w:rsid w:val="53204D14"/>
    <w:rsid w:val="5325057D"/>
    <w:rsid w:val="533770C8"/>
    <w:rsid w:val="5338243A"/>
    <w:rsid w:val="53514ECE"/>
    <w:rsid w:val="53B20BF6"/>
    <w:rsid w:val="53B37937"/>
    <w:rsid w:val="53BD0CC2"/>
    <w:rsid w:val="53DF072C"/>
    <w:rsid w:val="53E84DC7"/>
    <w:rsid w:val="54091EFA"/>
    <w:rsid w:val="54372316"/>
    <w:rsid w:val="543B42DA"/>
    <w:rsid w:val="54481E7C"/>
    <w:rsid w:val="54532EC8"/>
    <w:rsid w:val="54684BC5"/>
    <w:rsid w:val="547253C6"/>
    <w:rsid w:val="54C33BA9"/>
    <w:rsid w:val="54D97871"/>
    <w:rsid w:val="54E64A90"/>
    <w:rsid w:val="54EF1C22"/>
    <w:rsid w:val="54F43EB0"/>
    <w:rsid w:val="55025399"/>
    <w:rsid w:val="55254864"/>
    <w:rsid w:val="55631682"/>
    <w:rsid w:val="558772CD"/>
    <w:rsid w:val="55913DE9"/>
    <w:rsid w:val="559D264C"/>
    <w:rsid w:val="55B36956"/>
    <w:rsid w:val="55BC0A87"/>
    <w:rsid w:val="55C44EE3"/>
    <w:rsid w:val="55CD6DBF"/>
    <w:rsid w:val="55CF47D0"/>
    <w:rsid w:val="55D409AB"/>
    <w:rsid w:val="560E70A6"/>
    <w:rsid w:val="5621502B"/>
    <w:rsid w:val="563805C7"/>
    <w:rsid w:val="564C33E3"/>
    <w:rsid w:val="565A5E3A"/>
    <w:rsid w:val="56AA311A"/>
    <w:rsid w:val="56B357D4"/>
    <w:rsid w:val="57325016"/>
    <w:rsid w:val="57462870"/>
    <w:rsid w:val="576B630C"/>
    <w:rsid w:val="57906076"/>
    <w:rsid w:val="57AF2B0B"/>
    <w:rsid w:val="57BB325E"/>
    <w:rsid w:val="57E62B94"/>
    <w:rsid w:val="57F77E8D"/>
    <w:rsid w:val="580C3AB9"/>
    <w:rsid w:val="584101D8"/>
    <w:rsid w:val="584366A5"/>
    <w:rsid w:val="58464AEC"/>
    <w:rsid w:val="5866141B"/>
    <w:rsid w:val="588B0E82"/>
    <w:rsid w:val="58BD4DB3"/>
    <w:rsid w:val="58D37D03"/>
    <w:rsid w:val="58F80B81"/>
    <w:rsid w:val="58F83818"/>
    <w:rsid w:val="590F3861"/>
    <w:rsid w:val="59171D29"/>
    <w:rsid w:val="594B64BC"/>
    <w:rsid w:val="59B96571"/>
    <w:rsid w:val="59C1394B"/>
    <w:rsid w:val="59C52172"/>
    <w:rsid w:val="59D979CB"/>
    <w:rsid w:val="59E4333B"/>
    <w:rsid w:val="59FD5DAF"/>
    <w:rsid w:val="5A022337"/>
    <w:rsid w:val="5A054C64"/>
    <w:rsid w:val="5A327175"/>
    <w:rsid w:val="5A461F67"/>
    <w:rsid w:val="5A4D12DB"/>
    <w:rsid w:val="5A851901"/>
    <w:rsid w:val="5A9304C2"/>
    <w:rsid w:val="5A9D4E9D"/>
    <w:rsid w:val="5AA224B3"/>
    <w:rsid w:val="5AA95942"/>
    <w:rsid w:val="5AEE394A"/>
    <w:rsid w:val="5B2F1F99"/>
    <w:rsid w:val="5B647768"/>
    <w:rsid w:val="5B9A1A90"/>
    <w:rsid w:val="5BA109BC"/>
    <w:rsid w:val="5BE865EB"/>
    <w:rsid w:val="5BEA616D"/>
    <w:rsid w:val="5BEF797A"/>
    <w:rsid w:val="5C043425"/>
    <w:rsid w:val="5C084598"/>
    <w:rsid w:val="5C620610"/>
    <w:rsid w:val="5C6921EC"/>
    <w:rsid w:val="5C735EB5"/>
    <w:rsid w:val="5C7C27CC"/>
    <w:rsid w:val="5C8E6646"/>
    <w:rsid w:val="5CA1473C"/>
    <w:rsid w:val="5CCE57E1"/>
    <w:rsid w:val="5CD728E8"/>
    <w:rsid w:val="5CE943C9"/>
    <w:rsid w:val="5D557CB0"/>
    <w:rsid w:val="5D69550A"/>
    <w:rsid w:val="5D743AF2"/>
    <w:rsid w:val="5D752101"/>
    <w:rsid w:val="5D765998"/>
    <w:rsid w:val="5D784DB7"/>
    <w:rsid w:val="5D804113"/>
    <w:rsid w:val="5D86298B"/>
    <w:rsid w:val="5DC82230"/>
    <w:rsid w:val="5DF574B1"/>
    <w:rsid w:val="5E007C1C"/>
    <w:rsid w:val="5E01598A"/>
    <w:rsid w:val="5E0518AE"/>
    <w:rsid w:val="5E4C4C10"/>
    <w:rsid w:val="5E4F64AE"/>
    <w:rsid w:val="5E7128C8"/>
    <w:rsid w:val="5E7319C7"/>
    <w:rsid w:val="5E7B3747"/>
    <w:rsid w:val="5EB6652D"/>
    <w:rsid w:val="5EC944B2"/>
    <w:rsid w:val="5ECF75EF"/>
    <w:rsid w:val="5EDC2437"/>
    <w:rsid w:val="5EE25574"/>
    <w:rsid w:val="5F24793A"/>
    <w:rsid w:val="5F3F14B1"/>
    <w:rsid w:val="5F4A1944"/>
    <w:rsid w:val="5F5001D4"/>
    <w:rsid w:val="5F5F6BC4"/>
    <w:rsid w:val="5F736A1C"/>
    <w:rsid w:val="5F773F0E"/>
    <w:rsid w:val="5F7C1524"/>
    <w:rsid w:val="5F85487D"/>
    <w:rsid w:val="5F8D1984"/>
    <w:rsid w:val="5FAB3BB8"/>
    <w:rsid w:val="5FB868C7"/>
    <w:rsid w:val="5FC52ECB"/>
    <w:rsid w:val="5FCF3D4A"/>
    <w:rsid w:val="5FD01870"/>
    <w:rsid w:val="5FF132A9"/>
    <w:rsid w:val="5FFF5CB2"/>
    <w:rsid w:val="60003F04"/>
    <w:rsid w:val="601479AF"/>
    <w:rsid w:val="6028345A"/>
    <w:rsid w:val="609D79A4"/>
    <w:rsid w:val="60B42F40"/>
    <w:rsid w:val="60D94755"/>
    <w:rsid w:val="61431576"/>
    <w:rsid w:val="61B07674"/>
    <w:rsid w:val="61D16983"/>
    <w:rsid w:val="61DC62AA"/>
    <w:rsid w:val="62206ADF"/>
    <w:rsid w:val="623460E6"/>
    <w:rsid w:val="62357B08"/>
    <w:rsid w:val="62764951"/>
    <w:rsid w:val="627A19DB"/>
    <w:rsid w:val="6299419B"/>
    <w:rsid w:val="62B47227"/>
    <w:rsid w:val="62C54F90"/>
    <w:rsid w:val="62CC4571"/>
    <w:rsid w:val="636325F0"/>
    <w:rsid w:val="6393508F"/>
    <w:rsid w:val="63A64DC2"/>
    <w:rsid w:val="63B16DA6"/>
    <w:rsid w:val="63D538F9"/>
    <w:rsid w:val="64033FC2"/>
    <w:rsid w:val="64243F39"/>
    <w:rsid w:val="64325BAA"/>
    <w:rsid w:val="64326656"/>
    <w:rsid w:val="645B2050"/>
    <w:rsid w:val="6474563E"/>
    <w:rsid w:val="649E1F3D"/>
    <w:rsid w:val="64C01EB3"/>
    <w:rsid w:val="64DD2A65"/>
    <w:rsid w:val="64DD2E2F"/>
    <w:rsid w:val="65077AE2"/>
    <w:rsid w:val="6509385A"/>
    <w:rsid w:val="650C79CC"/>
    <w:rsid w:val="651F0B40"/>
    <w:rsid w:val="6522491C"/>
    <w:rsid w:val="65436640"/>
    <w:rsid w:val="654A3BA1"/>
    <w:rsid w:val="654C1999"/>
    <w:rsid w:val="65720792"/>
    <w:rsid w:val="65727ED4"/>
    <w:rsid w:val="658D11B9"/>
    <w:rsid w:val="65A15618"/>
    <w:rsid w:val="65C9123C"/>
    <w:rsid w:val="660467A7"/>
    <w:rsid w:val="66471D7C"/>
    <w:rsid w:val="667D6EFB"/>
    <w:rsid w:val="6692162D"/>
    <w:rsid w:val="66B477F6"/>
    <w:rsid w:val="66FB71D3"/>
    <w:rsid w:val="66FD7813"/>
    <w:rsid w:val="67825ED9"/>
    <w:rsid w:val="67A0385B"/>
    <w:rsid w:val="67B37940"/>
    <w:rsid w:val="67BB4BB4"/>
    <w:rsid w:val="67E91721"/>
    <w:rsid w:val="68275327"/>
    <w:rsid w:val="684352D5"/>
    <w:rsid w:val="6864524C"/>
    <w:rsid w:val="686C2A53"/>
    <w:rsid w:val="689C4BB9"/>
    <w:rsid w:val="68A13DAA"/>
    <w:rsid w:val="68A245E2"/>
    <w:rsid w:val="68B0544A"/>
    <w:rsid w:val="68C31F72"/>
    <w:rsid w:val="68D24CB5"/>
    <w:rsid w:val="68D92277"/>
    <w:rsid w:val="690F3CAF"/>
    <w:rsid w:val="693E5A9D"/>
    <w:rsid w:val="695D5F23"/>
    <w:rsid w:val="699456BD"/>
    <w:rsid w:val="69A772F1"/>
    <w:rsid w:val="69AE677E"/>
    <w:rsid w:val="6A0C28CE"/>
    <w:rsid w:val="6A4E1D0F"/>
    <w:rsid w:val="6A4E2339"/>
    <w:rsid w:val="6A650A4D"/>
    <w:rsid w:val="6AC83A2C"/>
    <w:rsid w:val="6B1B7E43"/>
    <w:rsid w:val="6B403D4E"/>
    <w:rsid w:val="6B6A0DCB"/>
    <w:rsid w:val="6B7060C6"/>
    <w:rsid w:val="6B741C4A"/>
    <w:rsid w:val="6B8E2D0B"/>
    <w:rsid w:val="6B916358"/>
    <w:rsid w:val="6BBB5FAB"/>
    <w:rsid w:val="6C272818"/>
    <w:rsid w:val="6C3C4515"/>
    <w:rsid w:val="6C60029B"/>
    <w:rsid w:val="6C711CE5"/>
    <w:rsid w:val="6C8D2FC3"/>
    <w:rsid w:val="6C927168"/>
    <w:rsid w:val="6D1234C8"/>
    <w:rsid w:val="6D21195D"/>
    <w:rsid w:val="6D635AD2"/>
    <w:rsid w:val="6D800432"/>
    <w:rsid w:val="6D8C5247"/>
    <w:rsid w:val="6DBB7FCC"/>
    <w:rsid w:val="6DE87D9E"/>
    <w:rsid w:val="6DFD2F92"/>
    <w:rsid w:val="6E3000AA"/>
    <w:rsid w:val="6E511637"/>
    <w:rsid w:val="6E5C0E9F"/>
    <w:rsid w:val="6E5D4C17"/>
    <w:rsid w:val="6E892BFF"/>
    <w:rsid w:val="6E904287"/>
    <w:rsid w:val="6EA83056"/>
    <w:rsid w:val="6EB55F1D"/>
    <w:rsid w:val="6EBE51FD"/>
    <w:rsid w:val="6EBF142E"/>
    <w:rsid w:val="6EF364B6"/>
    <w:rsid w:val="6F0F4163"/>
    <w:rsid w:val="6F12155D"/>
    <w:rsid w:val="6F2540A9"/>
    <w:rsid w:val="6F3F60CB"/>
    <w:rsid w:val="6F6C3363"/>
    <w:rsid w:val="6F8A1A3C"/>
    <w:rsid w:val="6F96218E"/>
    <w:rsid w:val="6FA10B33"/>
    <w:rsid w:val="6FAA5C3A"/>
    <w:rsid w:val="6FD42CB7"/>
    <w:rsid w:val="6FD607DD"/>
    <w:rsid w:val="6FE0165C"/>
    <w:rsid w:val="7000585A"/>
    <w:rsid w:val="700B56BF"/>
    <w:rsid w:val="700F5C73"/>
    <w:rsid w:val="705F07D2"/>
    <w:rsid w:val="70817FC6"/>
    <w:rsid w:val="709F32C5"/>
    <w:rsid w:val="70AF0E0B"/>
    <w:rsid w:val="70C26FB3"/>
    <w:rsid w:val="70C87CAA"/>
    <w:rsid w:val="70CF179B"/>
    <w:rsid w:val="70E4517B"/>
    <w:rsid w:val="712B6906"/>
    <w:rsid w:val="7148570A"/>
    <w:rsid w:val="716167CC"/>
    <w:rsid w:val="71723BF8"/>
    <w:rsid w:val="71AA3CCF"/>
    <w:rsid w:val="71B459C5"/>
    <w:rsid w:val="71CB4143"/>
    <w:rsid w:val="71E74F23"/>
    <w:rsid w:val="721C092E"/>
    <w:rsid w:val="723D7934"/>
    <w:rsid w:val="725105EF"/>
    <w:rsid w:val="727266B8"/>
    <w:rsid w:val="72804A5F"/>
    <w:rsid w:val="72824E1C"/>
    <w:rsid w:val="72C81D24"/>
    <w:rsid w:val="72F773E8"/>
    <w:rsid w:val="731C0BFD"/>
    <w:rsid w:val="73510736"/>
    <w:rsid w:val="73772C48"/>
    <w:rsid w:val="7379604F"/>
    <w:rsid w:val="73B34B68"/>
    <w:rsid w:val="73B52DFF"/>
    <w:rsid w:val="73C87749"/>
    <w:rsid w:val="73DA15F2"/>
    <w:rsid w:val="73DC213A"/>
    <w:rsid w:val="741B2295"/>
    <w:rsid w:val="742D20BE"/>
    <w:rsid w:val="74300B51"/>
    <w:rsid w:val="74373E1F"/>
    <w:rsid w:val="74463A57"/>
    <w:rsid w:val="74557B08"/>
    <w:rsid w:val="745909D3"/>
    <w:rsid w:val="746C7962"/>
    <w:rsid w:val="74757604"/>
    <w:rsid w:val="748F53FE"/>
    <w:rsid w:val="74C07CAE"/>
    <w:rsid w:val="751C0A79"/>
    <w:rsid w:val="755521A4"/>
    <w:rsid w:val="755E57C4"/>
    <w:rsid w:val="756026FD"/>
    <w:rsid w:val="756248C1"/>
    <w:rsid w:val="757027FD"/>
    <w:rsid w:val="75864A53"/>
    <w:rsid w:val="75BA294F"/>
    <w:rsid w:val="75CD61DE"/>
    <w:rsid w:val="75D25EEA"/>
    <w:rsid w:val="763E532E"/>
    <w:rsid w:val="764C7835"/>
    <w:rsid w:val="76606237"/>
    <w:rsid w:val="76B82AFF"/>
    <w:rsid w:val="76BC0040"/>
    <w:rsid w:val="76E97240"/>
    <w:rsid w:val="77547F95"/>
    <w:rsid w:val="77581BDC"/>
    <w:rsid w:val="77B21B30"/>
    <w:rsid w:val="77D23F80"/>
    <w:rsid w:val="77DF77F2"/>
    <w:rsid w:val="77F53FBA"/>
    <w:rsid w:val="77FE3901"/>
    <w:rsid w:val="78680440"/>
    <w:rsid w:val="78A056D5"/>
    <w:rsid w:val="78B612F9"/>
    <w:rsid w:val="78B813C8"/>
    <w:rsid w:val="78B86F01"/>
    <w:rsid w:val="78BD180A"/>
    <w:rsid w:val="78BD2213"/>
    <w:rsid w:val="78C0027C"/>
    <w:rsid w:val="78CA10FB"/>
    <w:rsid w:val="78CA62AD"/>
    <w:rsid w:val="78E55F35"/>
    <w:rsid w:val="78EC2E1F"/>
    <w:rsid w:val="79297B73"/>
    <w:rsid w:val="79383F91"/>
    <w:rsid w:val="795310F0"/>
    <w:rsid w:val="796C56F2"/>
    <w:rsid w:val="7989747E"/>
    <w:rsid w:val="798E2128"/>
    <w:rsid w:val="79DA4CD9"/>
    <w:rsid w:val="79DC3C10"/>
    <w:rsid w:val="79F32D29"/>
    <w:rsid w:val="7A212F9C"/>
    <w:rsid w:val="7A3031E0"/>
    <w:rsid w:val="7A5F3AF6"/>
    <w:rsid w:val="7A640644"/>
    <w:rsid w:val="7A66765A"/>
    <w:rsid w:val="7AB07AB2"/>
    <w:rsid w:val="7ABC1C04"/>
    <w:rsid w:val="7ADE2C3C"/>
    <w:rsid w:val="7AE11031"/>
    <w:rsid w:val="7B437FDF"/>
    <w:rsid w:val="7B635310"/>
    <w:rsid w:val="7B7C3CE3"/>
    <w:rsid w:val="7B84301F"/>
    <w:rsid w:val="7B937DA9"/>
    <w:rsid w:val="7BB813CF"/>
    <w:rsid w:val="7BD209F2"/>
    <w:rsid w:val="7BFB159A"/>
    <w:rsid w:val="7C240326"/>
    <w:rsid w:val="7C321491"/>
    <w:rsid w:val="7C5365EF"/>
    <w:rsid w:val="7C5533D1"/>
    <w:rsid w:val="7C5F4A2B"/>
    <w:rsid w:val="7C6E6F9B"/>
    <w:rsid w:val="7C724B1A"/>
    <w:rsid w:val="7C773348"/>
    <w:rsid w:val="7CA57EB5"/>
    <w:rsid w:val="7CD10CAA"/>
    <w:rsid w:val="7CF20C20"/>
    <w:rsid w:val="7D0E3897"/>
    <w:rsid w:val="7D1B3CD3"/>
    <w:rsid w:val="7D586CD5"/>
    <w:rsid w:val="7D741635"/>
    <w:rsid w:val="7DBB54B6"/>
    <w:rsid w:val="7DDB79A8"/>
    <w:rsid w:val="7DE6477E"/>
    <w:rsid w:val="7DF17874"/>
    <w:rsid w:val="7E17286F"/>
    <w:rsid w:val="7E265B35"/>
    <w:rsid w:val="7E395726"/>
    <w:rsid w:val="7E54076D"/>
    <w:rsid w:val="7E836D97"/>
    <w:rsid w:val="7E865AC4"/>
    <w:rsid w:val="7E8D6E52"/>
    <w:rsid w:val="7E8E73EF"/>
    <w:rsid w:val="7E8F4979"/>
    <w:rsid w:val="7E906943"/>
    <w:rsid w:val="7EB50157"/>
    <w:rsid w:val="7EF23A73"/>
    <w:rsid w:val="7F2826D7"/>
    <w:rsid w:val="7F523D4E"/>
    <w:rsid w:val="7F581391"/>
    <w:rsid w:val="7F7D4793"/>
    <w:rsid w:val="7FE02FB2"/>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paragraph" w:customStyle="1" w:styleId="11">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页眉 字符"/>
    <w:link w:val="5"/>
    <w:qFormat/>
    <w:uiPriority w:val="99"/>
    <w:rPr>
      <w:sz w:val="18"/>
      <w:szCs w:val="18"/>
    </w:rPr>
  </w:style>
  <w:style w:type="character" w:customStyle="1" w:styleId="13">
    <w:name w:val="页脚 字符"/>
    <w:link w:val="4"/>
    <w:qFormat/>
    <w:uiPriority w:val="99"/>
    <w:rPr>
      <w:sz w:val="18"/>
      <w:szCs w:val="18"/>
    </w:rPr>
  </w:style>
  <w:style w:type="character" w:customStyle="1" w:styleId="14">
    <w:name w:val="批注框文本 字符"/>
    <w:link w:val="3"/>
    <w:semiHidden/>
    <w:qFormat/>
    <w:uiPriority w:val="99"/>
    <w:rPr>
      <w:kern w:val="2"/>
      <w:sz w:val="18"/>
      <w:szCs w:val="18"/>
    </w:rPr>
  </w:style>
  <w:style w:type="character" w:customStyle="1" w:styleId="15">
    <w:name w:val="23"/>
    <w:basedOn w:val="8"/>
    <w:qFormat/>
    <w:uiPriority w:val="0"/>
    <w:rPr>
      <w:rFonts w:hint="default" w:ascii="Times New Roman" w:hAnsi="Times New Roman" w:cs="Times New Roman"/>
      <w:b/>
    </w:rPr>
  </w:style>
  <w:style w:type="character" w:customStyle="1" w:styleId="16">
    <w:name w:val="页脚 Char"/>
    <w:qFormat/>
    <w:uiPriority w:val="99"/>
    <w:rPr>
      <w:kern w:val="2"/>
      <w:sz w:val="18"/>
      <w:szCs w:val="18"/>
    </w:rPr>
  </w:style>
  <w:style w:type="paragraph" w:customStyle="1" w:styleId="17">
    <w:name w:val="_Style 22"/>
    <w:basedOn w:val="1"/>
    <w:next w:val="10"/>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4706</Words>
  <Characters>5242</Characters>
  <Lines>16</Lines>
  <Paragraphs>4</Paragraphs>
  <TotalTime>5</TotalTime>
  <ScaleCrop>false</ScaleCrop>
  <LinksUpToDate>false</LinksUpToDate>
  <CharactersWithSpaces>5247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王璇</cp:lastModifiedBy>
  <cp:lastPrinted>2023-08-10T09:16:00Z</cp:lastPrinted>
  <dcterms:modified xsi:type="dcterms:W3CDTF">2025-08-20T02:24:43Z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eyJoZGlkIjoiYjZkMjZjZjBlNzBhZjEwZTgzNTFlMGU2N2NkNDQwYWYifQ==</vt:lpwstr>
  </property>
</Properties>
</file>