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lang w:val="en-US" w:eastAsia="zh-CN"/>
        </w:rPr>
      </w:pPr>
    </w:p>
    <w:p>
      <w:pPr>
        <w:spacing w:line="600" w:lineRule="exact"/>
        <w:jc w:val="center"/>
        <w:rPr>
          <w:rFonts w:hint="default"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重庆市江津区港航事务中心</w:t>
      </w:r>
    </w:p>
    <w:p>
      <w:pPr>
        <w:spacing w:line="600" w:lineRule="exact"/>
        <w:ind w:firstLine="1540" w:firstLineChars="350"/>
        <w:rPr>
          <w:rFonts w:hint="eastAsia" w:ascii="Times New Roman" w:hAnsi="Times New Roman" w:eastAsia="方正小标宋_GBK"/>
          <w:sz w:val="44"/>
          <w:szCs w:val="44"/>
        </w:rPr>
      </w:pP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2</w:t>
      </w:r>
      <w:r>
        <w:rPr>
          <w:rFonts w:hint="eastAsia" w:ascii="Times New Roman" w:hAnsi="Times New Roman" w:eastAsia="方正小标宋_GBK"/>
          <w:sz w:val="44"/>
          <w:szCs w:val="44"/>
        </w:rPr>
        <w:t>年度</w:t>
      </w:r>
      <w:r>
        <w:rPr>
          <w:rFonts w:hint="eastAsia" w:ascii="Times New Roman" w:hAnsi="Times New Roman" w:eastAsia="方正小标宋_GBK"/>
          <w:sz w:val="44"/>
          <w:szCs w:val="44"/>
          <w:lang w:eastAsia="zh-CN"/>
        </w:rPr>
        <w:t>单位</w:t>
      </w:r>
      <w:r>
        <w:rPr>
          <w:rFonts w:hint="eastAsia" w:ascii="Times New Roman" w:hAnsi="Times New Roman" w:eastAsia="方正小标宋_GBK"/>
          <w:sz w:val="44"/>
          <w:szCs w:val="44"/>
        </w:rPr>
        <w:t>决算公开说明</w:t>
      </w:r>
    </w:p>
    <w:p>
      <w:pPr>
        <w:spacing w:line="600" w:lineRule="exact"/>
        <w:ind w:firstLine="1100" w:firstLineChars="250"/>
        <w:rPr>
          <w:rFonts w:hint="eastAsia" w:ascii="Times New Roman" w:hAnsi="Times New Roman" w:eastAsia="方正小标宋_GBK"/>
          <w:sz w:val="44"/>
          <w:szCs w:val="44"/>
        </w:rPr>
      </w:pPr>
    </w:p>
    <w:p>
      <w:pPr>
        <w:pStyle w:val="12"/>
        <w:tabs>
          <w:tab w:val="center" w:pos="4153"/>
          <w:tab w:val="left" w:pos="7275"/>
        </w:tabs>
        <w:spacing w:line="60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spacing w:line="600" w:lineRule="exact"/>
        <w:ind w:firstLine="640" w:firstLineChars="200"/>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我单位全称重庆市江津区港航事务中心，是</w:t>
      </w:r>
      <w:r>
        <w:rPr>
          <w:rFonts w:hint="eastAsia" w:ascii="宋体" w:hAnsi="宋体" w:eastAsia="方正仿宋_GBK"/>
          <w:sz w:val="32"/>
          <w:szCs w:val="32"/>
          <w:lang w:val="zh-CN" w:eastAsia="zh-CN"/>
        </w:rPr>
        <w:t>区交通局管理的副处级全额拨款公益一类事业单位</w:t>
      </w:r>
      <w:r>
        <w:rPr>
          <w:rFonts w:hint="eastAsia" w:ascii="Times New Roman" w:hAnsi="Times New Roman" w:eastAsia="方正仿宋_GBK" w:cs="宋体"/>
          <w:kern w:val="0"/>
          <w:sz w:val="32"/>
          <w:szCs w:val="32"/>
          <w:lang w:val="en-US" w:eastAsia="zh-CN"/>
        </w:rPr>
        <w:t>。</w:t>
      </w:r>
    </w:p>
    <w:p>
      <w:pPr>
        <w:numPr>
          <w:ilvl w:val="0"/>
          <w:numId w:val="1"/>
        </w:numPr>
        <w:spacing w:line="600" w:lineRule="exact"/>
        <w:ind w:firstLine="640" w:firstLineChars="200"/>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职能职责</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1、</w:t>
      </w:r>
      <w:r>
        <w:rPr>
          <w:rFonts w:hint="eastAsia" w:ascii="宋体" w:hAnsi="宋体" w:eastAsia="方正仿宋_GBK"/>
          <w:sz w:val="32"/>
          <w:szCs w:val="32"/>
        </w:rPr>
        <w:t>承担辖区范围内水路运输、港口码头、渡口、地方航道管理的事务性工作；协助开展相关行政许可事务。</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2、</w:t>
      </w:r>
      <w:r>
        <w:rPr>
          <w:rFonts w:hint="eastAsia" w:ascii="宋体" w:hAnsi="宋体" w:eastAsia="方正仿宋_GBK"/>
          <w:sz w:val="32"/>
          <w:szCs w:val="32"/>
        </w:rPr>
        <w:t>承担地方海事管理的事务性工作；协助开展相关行政许可事务。</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3、</w:t>
      </w:r>
      <w:r>
        <w:rPr>
          <w:rFonts w:hint="eastAsia" w:ascii="宋体" w:hAnsi="宋体" w:eastAsia="方正仿宋_GBK"/>
          <w:sz w:val="32"/>
          <w:szCs w:val="32"/>
        </w:rPr>
        <w:t>承担地方水上交通安全和应急管理的事务性工作。参与行业安全事故和辖区水上交通事故调查。</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4、</w:t>
      </w:r>
      <w:r>
        <w:rPr>
          <w:rFonts w:hint="eastAsia" w:ascii="宋体" w:hAnsi="宋体" w:eastAsia="方正仿宋_GBK"/>
          <w:sz w:val="32"/>
          <w:szCs w:val="32"/>
        </w:rPr>
        <w:t>承担水路行业生态环境保护和节能减排的事务性工作。</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5、</w:t>
      </w:r>
      <w:r>
        <w:rPr>
          <w:rFonts w:hint="eastAsia" w:ascii="宋体" w:hAnsi="宋体" w:eastAsia="方正仿宋_GBK"/>
          <w:sz w:val="32"/>
          <w:szCs w:val="32"/>
        </w:rPr>
        <w:t>承担重点物资、应急救援物资和人员、紧急和重要军事物资水路运输的组织协调工作；承担水路运输战备事务性工作，负责战备渡口的管理维护。</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6、</w:t>
      </w:r>
      <w:r>
        <w:rPr>
          <w:rFonts w:hint="eastAsia" w:ascii="宋体" w:hAnsi="宋体" w:eastAsia="方正仿宋_GBK"/>
          <w:sz w:val="32"/>
          <w:szCs w:val="32"/>
        </w:rPr>
        <w:t>承担行业信用体系建设、港航海事政务服务、行业统计的事务性工作。</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7、</w:t>
      </w:r>
      <w:r>
        <w:rPr>
          <w:rFonts w:hint="eastAsia" w:ascii="宋体" w:hAnsi="宋体" w:eastAsia="方正仿宋_GBK"/>
          <w:sz w:val="32"/>
          <w:szCs w:val="32"/>
        </w:rPr>
        <w:t>承担行业发展规划、建设事务性工作及相关行业文明建设工作。</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ascii="宋体" w:hAnsi="宋体" w:eastAsia="方正仿宋_GBK"/>
          <w:sz w:val="32"/>
          <w:szCs w:val="32"/>
        </w:rPr>
      </w:pPr>
      <w:r>
        <w:rPr>
          <w:rFonts w:hint="eastAsia" w:ascii="宋体" w:hAnsi="宋体" w:eastAsia="方正仿宋_GBK"/>
          <w:sz w:val="32"/>
          <w:szCs w:val="32"/>
          <w:lang w:val="en-US" w:eastAsia="zh-CN"/>
        </w:rPr>
        <w:t>8、</w:t>
      </w:r>
      <w:r>
        <w:rPr>
          <w:rFonts w:hint="eastAsia" w:ascii="宋体" w:hAnsi="宋体" w:eastAsia="方正仿宋_GBK"/>
          <w:sz w:val="32"/>
          <w:szCs w:val="32"/>
        </w:rPr>
        <w:t>承担交通领域长江经济带建设和内河生态环境修复工作。</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hint="eastAsia" w:ascii="宋体" w:hAnsi="宋体" w:eastAsia="方正仿宋_GBK"/>
          <w:sz w:val="32"/>
          <w:szCs w:val="32"/>
        </w:rPr>
      </w:pPr>
      <w:r>
        <w:rPr>
          <w:rFonts w:hint="eastAsia" w:ascii="宋体" w:hAnsi="宋体" w:eastAsia="方正仿宋_GBK"/>
          <w:sz w:val="32"/>
          <w:szCs w:val="32"/>
          <w:lang w:val="en-US" w:eastAsia="zh-CN"/>
        </w:rPr>
        <w:t>9、</w:t>
      </w:r>
      <w:r>
        <w:rPr>
          <w:rFonts w:hint="eastAsia" w:ascii="宋体" w:hAnsi="宋体" w:eastAsia="方正仿宋_GBK"/>
          <w:sz w:val="32"/>
          <w:szCs w:val="32"/>
        </w:rPr>
        <w:t>完成区交通局交办的其他任务。</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二）机构设置</w:t>
      </w:r>
    </w:p>
    <w:p>
      <w:pPr>
        <w:keepNext w:val="0"/>
        <w:keepLines w:val="0"/>
        <w:pageBreakBefore w:val="0"/>
        <w:widowControl w:val="0"/>
        <w:suppressLineNumbers w:val="0"/>
        <w:suppressAutoHyphens w:val="0"/>
        <w:kinsoku/>
        <w:wordWrap/>
        <w:overflowPunct/>
        <w:topLinePunct w:val="0"/>
        <w:autoSpaceDE/>
        <w:autoSpaceDN/>
        <w:adjustRightInd w:val="0"/>
        <w:snapToGrid w:val="0"/>
        <w:spacing w:line="579" w:lineRule="exact"/>
        <w:ind w:left="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我单位内设</w:t>
      </w:r>
      <w:r>
        <w:rPr>
          <w:rFonts w:hint="eastAsia" w:ascii="方正仿宋_GBK" w:hAnsi="方正仿宋_GBK" w:eastAsia="方正仿宋_GBK" w:cs="方正仿宋_GBK"/>
          <w:sz w:val="32"/>
          <w:szCs w:val="32"/>
        </w:rPr>
        <w:t>综合科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港政</w:t>
      </w:r>
      <w:r>
        <w:rPr>
          <w:rFonts w:hint="eastAsia" w:ascii="方正仿宋_GBK" w:hAnsi="方正仿宋_GBK" w:eastAsia="方正仿宋_GBK" w:cs="方正仿宋_GBK"/>
          <w:sz w:val="32"/>
          <w:szCs w:val="32"/>
          <w:lang w:eastAsia="zh-CN"/>
        </w:rPr>
        <w:t>事务</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运政</w:t>
      </w:r>
      <w:r>
        <w:rPr>
          <w:rFonts w:hint="eastAsia" w:ascii="方正仿宋_GBK" w:hAnsi="方正仿宋_GBK" w:eastAsia="方正仿宋_GBK" w:cs="方正仿宋_GBK"/>
          <w:sz w:val="32"/>
          <w:szCs w:val="32"/>
          <w:lang w:eastAsia="zh-CN"/>
        </w:rPr>
        <w:t>事务</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渡口</w:t>
      </w:r>
      <w:r>
        <w:rPr>
          <w:rFonts w:hint="eastAsia" w:ascii="方正仿宋_GBK" w:hAnsi="方正仿宋_GBK" w:eastAsia="方正仿宋_GBK" w:cs="方正仿宋_GBK"/>
          <w:sz w:val="32"/>
          <w:szCs w:val="32"/>
          <w:lang w:eastAsia="zh-CN"/>
        </w:rPr>
        <w:t>航道</w:t>
      </w:r>
      <w:r>
        <w:rPr>
          <w:rFonts w:hint="eastAsia" w:ascii="方正仿宋_GBK" w:hAnsi="方正仿宋_GBK" w:eastAsia="方正仿宋_GBK" w:cs="方正仿宋_GBK"/>
          <w:sz w:val="32"/>
          <w:szCs w:val="32"/>
        </w:rPr>
        <w:t>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安全环保科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港航</w:t>
      </w:r>
      <w:r>
        <w:rPr>
          <w:rFonts w:hint="eastAsia" w:ascii="方正仿宋_GBK" w:hAnsi="方正仿宋_GBK" w:eastAsia="方正仿宋_GBK" w:cs="方正仿宋_GBK"/>
          <w:sz w:val="32"/>
          <w:szCs w:val="32"/>
          <w:lang w:eastAsia="zh-CN"/>
        </w:rPr>
        <w:t>事务</w:t>
      </w:r>
      <w:r>
        <w:rPr>
          <w:rFonts w:hint="eastAsia" w:ascii="方正仿宋_GBK" w:hAnsi="方正仿宋_GBK" w:eastAsia="方正仿宋_GBK" w:cs="方正仿宋_GBK"/>
          <w:sz w:val="32"/>
          <w:szCs w:val="32"/>
        </w:rPr>
        <w:t>科。</w:t>
      </w:r>
    </w:p>
    <w:p>
      <w:pPr>
        <w:numPr>
          <w:ilvl w:val="0"/>
          <w:numId w:val="2"/>
        </w:numPr>
        <w:spacing w:line="60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lang w:val="en-US" w:eastAsia="zh-CN"/>
        </w:rPr>
        <w:t>单位</w:t>
      </w:r>
      <w:r>
        <w:rPr>
          <w:rFonts w:hint="eastAsia" w:ascii="Times New Roman" w:hAnsi="Times New Roman" w:eastAsia="方正黑体_GBK"/>
          <w:sz w:val="32"/>
          <w:szCs w:val="32"/>
        </w:rPr>
        <w:t>决算情况说明</w:t>
      </w:r>
    </w:p>
    <w:p>
      <w:pPr>
        <w:numPr>
          <w:ilvl w:val="0"/>
          <w:numId w:val="0"/>
        </w:numPr>
        <w:spacing w:line="600" w:lineRule="exact"/>
        <w:ind w:left="0" w:leftChars="0" w:firstLine="640" w:firstLineChars="200"/>
        <w:rPr>
          <w:rFonts w:hint="eastAsia" w:ascii="Times New Roman" w:hAnsi="Times New Roman" w:eastAsia="方正黑体_GBK"/>
          <w:sz w:val="32"/>
          <w:szCs w:val="32"/>
        </w:rPr>
      </w:pPr>
      <w:r>
        <w:rPr>
          <w:rFonts w:hint="eastAsia" w:ascii="方正仿宋_GBK" w:hAnsi="方正仿宋_GBK" w:eastAsia="方正仿宋_GBK" w:cs="方正仿宋_GBK"/>
          <w:color w:val="auto"/>
          <w:sz w:val="32"/>
          <w:szCs w:val="32"/>
          <w:highlight w:val="none"/>
          <w:lang w:val="en-US" w:eastAsia="zh-CN"/>
        </w:rPr>
        <w:t>本单位系区交通局二级预算单位，自2022年度起单独编报单位决算，无2021年决算数据，故无与上年决算数据对比说明。</w:t>
      </w:r>
    </w:p>
    <w:p>
      <w:pPr>
        <w:spacing w:line="600" w:lineRule="exact"/>
        <w:ind w:firstLine="640" w:firstLineChars="200"/>
        <w:rPr>
          <w:rFonts w:hint="eastAsia" w:ascii="方正仿宋_GBK" w:hAnsi="方正仿宋_GBK" w:eastAsia="方正仿宋_GBK" w:cs="方正仿宋_GBK"/>
          <w:color w:val="auto"/>
          <w:sz w:val="32"/>
          <w:szCs w:val="32"/>
          <w:highlight w:val="yellow"/>
          <w:lang w:val="en-US" w:eastAsia="zh-CN"/>
        </w:rPr>
      </w:pPr>
      <w:r>
        <w:rPr>
          <w:rFonts w:hint="eastAsia" w:ascii="方正楷体_GBK" w:hAnsi="方正楷体_GBK" w:eastAsia="方正楷体_GBK" w:cs="方正楷体_GBK"/>
          <w:i w:val="0"/>
          <w:iCs w:val="0"/>
          <w:caps w:val="0"/>
          <w:color w:val="171A1D"/>
          <w:spacing w:val="0"/>
          <w:sz w:val="32"/>
          <w:szCs w:val="32"/>
          <w:shd w:val="clear" w:fill="FFFFFF"/>
          <w:lang w:eastAsia="zh-CN"/>
        </w:rPr>
        <w:t>（</w:t>
      </w:r>
      <w:r>
        <w:rPr>
          <w:rFonts w:hint="eastAsia" w:ascii="方正楷体_GBK" w:hAnsi="方正楷体_GBK" w:eastAsia="方正楷体_GBK" w:cs="方正楷体_GBK"/>
          <w:i w:val="0"/>
          <w:iCs w:val="0"/>
          <w:caps w:val="0"/>
          <w:color w:val="171A1D"/>
          <w:spacing w:val="0"/>
          <w:sz w:val="32"/>
          <w:szCs w:val="32"/>
          <w:shd w:val="clear" w:fill="FFFFFF"/>
          <w:lang w:val="en-US" w:eastAsia="zh-CN"/>
        </w:rPr>
        <w:t>一）</w:t>
      </w:r>
      <w:r>
        <w:rPr>
          <w:rFonts w:hint="eastAsia" w:ascii="方正楷体_GBK" w:hAnsi="方正楷体_GBK" w:eastAsia="方正楷体_GBK" w:cs="方正楷体_GBK"/>
          <w:i w:val="0"/>
          <w:iCs w:val="0"/>
          <w:caps w:val="0"/>
          <w:color w:val="171A1D"/>
          <w:spacing w:val="0"/>
          <w:sz w:val="32"/>
          <w:szCs w:val="32"/>
          <w:shd w:val="clear" w:fill="FFFFFF"/>
        </w:rPr>
        <w:t>收入支出决算总体情况说明</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1.总体情况。2022年度收入总计</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1500.68</w:t>
      </w:r>
      <w:r>
        <w:rPr>
          <w:rFonts w:hint="eastAsia" w:ascii="方正仿宋_GBK" w:hAnsi="方正仿宋_GBK" w:eastAsia="方正仿宋_GBK" w:cs="方正仿宋_GBK"/>
          <w:i w:val="0"/>
          <w:iCs w:val="0"/>
          <w:caps w:val="0"/>
          <w:color w:val="171A1D"/>
          <w:spacing w:val="0"/>
          <w:sz w:val="32"/>
          <w:szCs w:val="32"/>
          <w:shd w:val="clear" w:fill="FFFFFF"/>
        </w:rPr>
        <w:t>万元，支出总计</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1500.68</w:t>
      </w:r>
      <w:r>
        <w:rPr>
          <w:rFonts w:hint="eastAsia" w:ascii="方正仿宋_GBK" w:hAnsi="方正仿宋_GBK" w:eastAsia="方正仿宋_GBK" w:cs="方正仿宋_GBK"/>
          <w:i w:val="0"/>
          <w:iCs w:val="0"/>
          <w:caps w:val="0"/>
          <w:color w:val="171A1D"/>
          <w:spacing w:val="0"/>
          <w:sz w:val="32"/>
          <w:szCs w:val="32"/>
          <w:highlight w:val="none"/>
          <w:shd w:val="clear" w:fill="FFFFFF"/>
        </w:rPr>
        <w:t>万元。</w:t>
      </w:r>
      <w:r>
        <w:rPr>
          <w:rFonts w:hint="eastAsia" w:ascii="方正仿宋_GBK" w:hAnsi="方正仿宋_GBK" w:eastAsia="方正仿宋_GBK" w:cs="方正仿宋_GBK"/>
          <w:color w:val="auto"/>
          <w:sz w:val="32"/>
          <w:szCs w:val="32"/>
          <w:highlight w:val="none"/>
          <w:lang w:val="en-US" w:eastAsia="zh-CN"/>
        </w:rPr>
        <w:t>与2022年度年初预算相比，增加139.15万元，增加10.22%，主要原因在于2022年项目支出增加及2022年人员经费有所增加，故2022年财政拨款支出增加139.15万元。</w:t>
      </w:r>
    </w:p>
    <w:p>
      <w:pPr>
        <w:numPr>
          <w:ilvl w:val="0"/>
          <w:numId w:val="0"/>
        </w:numPr>
        <w:spacing w:line="600" w:lineRule="exact"/>
        <w:ind w:firstLine="640" w:firstLineChars="200"/>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rPr>
        <w:t>2.收入情况。2022年度收入合计</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1500.68</w:t>
      </w:r>
      <w:r>
        <w:rPr>
          <w:rFonts w:hint="eastAsia" w:ascii="方正仿宋_GBK" w:hAnsi="方正仿宋_GBK" w:eastAsia="方正仿宋_GBK" w:cs="方正仿宋_GBK"/>
          <w:i w:val="0"/>
          <w:iCs w:val="0"/>
          <w:caps w:val="0"/>
          <w:color w:val="171A1D"/>
          <w:spacing w:val="0"/>
          <w:sz w:val="32"/>
          <w:szCs w:val="32"/>
          <w:shd w:val="clear" w:fill="FFFFFF"/>
        </w:rPr>
        <w:t>万元。其中：财政拨款收入</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1491.08</w:t>
      </w:r>
      <w:r>
        <w:rPr>
          <w:rFonts w:hint="eastAsia" w:ascii="方正仿宋_GBK" w:hAnsi="方正仿宋_GBK" w:eastAsia="方正仿宋_GBK" w:cs="方正仿宋_GBK"/>
          <w:i w:val="0"/>
          <w:iCs w:val="0"/>
          <w:caps w:val="0"/>
          <w:color w:val="171A1D"/>
          <w:spacing w:val="0"/>
          <w:sz w:val="32"/>
          <w:szCs w:val="32"/>
          <w:shd w:val="clear" w:fill="FFFFFF"/>
        </w:rPr>
        <w:t>万元，占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99.36</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政府性基金预算财政拨款收入9.6万元，占0.64%</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3.支出情况。2022年度支出合计</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1500.68</w:t>
      </w:r>
      <w:r>
        <w:rPr>
          <w:rFonts w:hint="eastAsia" w:ascii="方正仿宋_GBK" w:hAnsi="方正仿宋_GBK" w:eastAsia="方正仿宋_GBK" w:cs="方正仿宋_GBK"/>
          <w:i w:val="0"/>
          <w:iCs w:val="0"/>
          <w:caps w:val="0"/>
          <w:color w:val="171A1D"/>
          <w:spacing w:val="0"/>
          <w:sz w:val="32"/>
          <w:szCs w:val="32"/>
          <w:shd w:val="clear" w:fill="FFFFFF"/>
        </w:rPr>
        <w:t>万元，其中：基本支出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610.76</w:t>
      </w:r>
      <w:r>
        <w:rPr>
          <w:rFonts w:hint="eastAsia" w:ascii="方正仿宋_GBK" w:hAnsi="方正仿宋_GBK" w:eastAsia="方正仿宋_GBK" w:cs="方正仿宋_GBK"/>
          <w:i w:val="0"/>
          <w:iCs w:val="0"/>
          <w:caps w:val="0"/>
          <w:color w:val="171A1D"/>
          <w:spacing w:val="0"/>
          <w:sz w:val="32"/>
          <w:szCs w:val="32"/>
          <w:shd w:val="clear" w:fill="FFFFFF"/>
        </w:rPr>
        <w:t>万元，占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40.7</w:t>
      </w:r>
      <w:r>
        <w:rPr>
          <w:rFonts w:hint="eastAsia" w:ascii="方正仿宋_GBK" w:hAnsi="方正仿宋_GBK" w:eastAsia="方正仿宋_GBK" w:cs="方正仿宋_GBK"/>
          <w:i w:val="0"/>
          <w:iCs w:val="0"/>
          <w:caps w:val="0"/>
          <w:color w:val="171A1D"/>
          <w:spacing w:val="0"/>
          <w:sz w:val="32"/>
          <w:szCs w:val="32"/>
          <w:shd w:val="clear" w:fill="FFFFFF"/>
        </w:rPr>
        <w:t>%；项目支出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889.92</w:t>
      </w:r>
      <w:r>
        <w:rPr>
          <w:rFonts w:hint="eastAsia" w:ascii="方正仿宋_GBK" w:hAnsi="方正仿宋_GBK" w:eastAsia="方正仿宋_GBK" w:cs="方正仿宋_GBK"/>
          <w:i w:val="0"/>
          <w:iCs w:val="0"/>
          <w:caps w:val="0"/>
          <w:color w:val="171A1D"/>
          <w:spacing w:val="0"/>
          <w:sz w:val="32"/>
          <w:szCs w:val="32"/>
          <w:shd w:val="clear" w:fill="FFFFFF"/>
        </w:rPr>
        <w:t>万元，占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59.24</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4.结转结余情况。2022年度年末无结转和结余资金。</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highlight w:val="none"/>
          <w:shd w:val="clear" w:fill="FFFFFF"/>
          <w:lang w:val="en-US" w:eastAsia="zh-CN"/>
        </w:rPr>
        <w:t xml:space="preserve">   </w:t>
      </w:r>
      <w:r>
        <w:rPr>
          <w:rFonts w:hint="eastAsia" w:ascii="方正楷体_GBK" w:hAnsi="方正楷体_GBK" w:eastAsia="方正楷体_GBK" w:cs="方正楷体_GBK"/>
          <w:i w:val="0"/>
          <w:iCs w:val="0"/>
          <w:caps w:val="0"/>
          <w:color w:val="171A1D"/>
          <w:spacing w:val="0"/>
          <w:sz w:val="32"/>
          <w:szCs w:val="32"/>
          <w:highlight w:val="none"/>
          <w:shd w:val="clear" w:fill="FFFFFF"/>
        </w:rPr>
        <w:t>（二）财政拨款收入支出决算总体情况说明</w:t>
      </w:r>
      <w:r>
        <w:rPr>
          <w:rFonts w:hint="eastAsia" w:ascii="方正仿宋_GBK" w:hAnsi="方正仿宋_GBK" w:eastAsia="方正仿宋_GBK" w:cs="方正仿宋_GBK"/>
          <w:i w:val="0"/>
          <w:iCs w:val="0"/>
          <w:caps w:val="0"/>
          <w:color w:val="171A1D"/>
          <w:spacing w:val="0"/>
          <w:sz w:val="32"/>
          <w:szCs w:val="32"/>
          <w:highlight w:val="none"/>
          <w:shd w:val="clear" w:fill="FFFFFF"/>
        </w:rPr>
        <w:br w:type="textWrapping"/>
      </w:r>
      <w:r>
        <w:rPr>
          <w:rFonts w:hint="eastAsia" w:ascii="方正仿宋_GBK" w:hAnsi="方正仿宋_GBK" w:eastAsia="方正仿宋_GBK" w:cs="方正仿宋_GBK"/>
          <w:i w:val="0"/>
          <w:iCs w:val="0"/>
          <w:caps w:val="0"/>
          <w:color w:val="171A1D"/>
          <w:spacing w:val="0"/>
          <w:sz w:val="32"/>
          <w:szCs w:val="32"/>
          <w:highlight w:val="none"/>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highlight w:val="none"/>
          <w:shd w:val="clear" w:fill="FFFFFF"/>
        </w:rPr>
        <w:t>2022年度财政拨款收、支总计</w:t>
      </w:r>
      <w:r>
        <w:rPr>
          <w:rFonts w:hint="eastAsia" w:ascii="方正仿宋_GBK" w:hAnsi="方正仿宋_GBK" w:eastAsia="方正仿宋_GBK" w:cs="方正仿宋_GBK"/>
          <w:i w:val="0"/>
          <w:iCs w:val="0"/>
          <w:caps w:val="0"/>
          <w:color w:val="171A1D"/>
          <w:spacing w:val="0"/>
          <w:sz w:val="32"/>
          <w:szCs w:val="32"/>
          <w:highlight w:val="none"/>
          <w:shd w:val="clear" w:fill="FFFFFF"/>
          <w:lang w:val="en-US" w:eastAsia="zh-CN"/>
        </w:rPr>
        <w:t>1500.68</w:t>
      </w:r>
      <w:r>
        <w:rPr>
          <w:rFonts w:hint="eastAsia" w:ascii="方正仿宋_GBK" w:hAnsi="方正仿宋_GBK" w:eastAsia="方正仿宋_GBK" w:cs="方正仿宋_GBK"/>
          <w:i w:val="0"/>
          <w:iCs w:val="0"/>
          <w:caps w:val="0"/>
          <w:color w:val="171A1D"/>
          <w:spacing w:val="0"/>
          <w:sz w:val="32"/>
          <w:szCs w:val="32"/>
          <w:highlight w:val="none"/>
          <w:shd w:val="clear" w:fill="FFFFFF"/>
        </w:rPr>
        <w:t>万元。</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楷体_GBK" w:hAnsi="方正楷体_GBK" w:eastAsia="方正楷体_GBK" w:cs="方正楷体_GBK"/>
          <w:i w:val="0"/>
          <w:iCs w:val="0"/>
          <w:caps w:val="0"/>
          <w:color w:val="171A1D"/>
          <w:spacing w:val="0"/>
          <w:sz w:val="32"/>
          <w:szCs w:val="32"/>
          <w:shd w:val="clear" w:fill="FFFFFF"/>
          <w:lang w:val="en-US" w:eastAsia="zh-CN"/>
        </w:rPr>
        <w:t xml:space="preserve"> </w:t>
      </w:r>
      <w:r>
        <w:rPr>
          <w:rFonts w:hint="eastAsia" w:ascii="方正楷体_GBK" w:hAnsi="方正楷体_GBK" w:eastAsia="方正楷体_GBK" w:cs="方正楷体_GBK"/>
          <w:i w:val="0"/>
          <w:iCs w:val="0"/>
          <w:caps w:val="0"/>
          <w:color w:val="171A1D"/>
          <w:spacing w:val="0"/>
          <w:sz w:val="32"/>
          <w:szCs w:val="32"/>
          <w:shd w:val="clear" w:fill="FFFFFF"/>
        </w:rPr>
        <w:t>（三）一般公共预算财政拨款收入支出决算情况说明</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1.收入情况。2022年度一般公共预算财政拨款收入</w:t>
      </w:r>
      <w:r>
        <w:rPr>
          <w:rFonts w:hint="eastAsia" w:ascii="方正仿宋_GBK" w:hAnsi="方正仿宋_GBK" w:eastAsia="方正仿宋_GBK" w:cs="方正仿宋_GBK"/>
          <w:i w:val="0"/>
          <w:iCs w:val="0"/>
          <w:caps w:val="0"/>
          <w:color w:val="171A1D"/>
          <w:spacing w:val="0"/>
          <w:sz w:val="32"/>
          <w:szCs w:val="32"/>
          <w:shd w:val="clear" w:fill="FFFFFF"/>
          <w:lang w:eastAsia="zh-CN"/>
        </w:rPr>
        <w:t>合计</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1491.08</w:t>
      </w:r>
      <w:r>
        <w:rPr>
          <w:rFonts w:hint="eastAsia" w:ascii="方正仿宋_GBK" w:hAnsi="方正仿宋_GBK" w:eastAsia="方正仿宋_GBK" w:cs="方正仿宋_GBK"/>
          <w:i w:val="0"/>
          <w:iCs w:val="0"/>
          <w:caps w:val="0"/>
          <w:color w:val="171A1D"/>
          <w:spacing w:val="0"/>
          <w:sz w:val="32"/>
          <w:szCs w:val="32"/>
          <w:shd w:val="clear" w:fill="FFFFFF"/>
        </w:rPr>
        <w:t>万元。较年初预算数增加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139.95</w:t>
      </w:r>
      <w:r>
        <w:rPr>
          <w:rFonts w:hint="eastAsia" w:ascii="方正仿宋_GBK" w:hAnsi="方正仿宋_GBK" w:eastAsia="方正仿宋_GBK" w:cs="方正仿宋_GBK"/>
          <w:i w:val="0"/>
          <w:iCs w:val="0"/>
          <w:caps w:val="0"/>
          <w:color w:val="171A1D"/>
          <w:spacing w:val="0"/>
          <w:sz w:val="32"/>
          <w:szCs w:val="32"/>
          <w:shd w:val="clear" w:fill="FFFFFF"/>
        </w:rPr>
        <w:t>万元，增长</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0.09</w:t>
      </w:r>
      <w:r>
        <w:rPr>
          <w:rFonts w:hint="eastAsia" w:ascii="方正仿宋_GBK" w:hAnsi="方正仿宋_GBK" w:eastAsia="方正仿宋_GBK" w:cs="方正仿宋_GBK"/>
          <w:i w:val="0"/>
          <w:iCs w:val="0"/>
          <w:caps w:val="0"/>
          <w:color w:val="171A1D"/>
          <w:spacing w:val="0"/>
          <w:sz w:val="32"/>
          <w:szCs w:val="32"/>
          <w:shd w:val="clear" w:fill="FFFFFF"/>
        </w:rPr>
        <w:t>%。主要原因是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项目追加及2022年人员经费有所增加，故一般公共预算财政拨款收入增加。</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2.支出情况。2022年度一般公共预算财政拨款支出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1491.08</w:t>
      </w:r>
      <w:r>
        <w:rPr>
          <w:rFonts w:hint="eastAsia" w:ascii="方正仿宋_GBK" w:hAnsi="方正仿宋_GBK" w:eastAsia="方正仿宋_GBK" w:cs="方正仿宋_GBK"/>
          <w:i w:val="0"/>
          <w:iCs w:val="0"/>
          <w:caps w:val="0"/>
          <w:color w:val="171A1D"/>
          <w:spacing w:val="0"/>
          <w:sz w:val="32"/>
          <w:szCs w:val="32"/>
          <w:shd w:val="clear" w:fill="FFFFFF"/>
        </w:rPr>
        <w:t>万元。较年初预算数增加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139.95</w:t>
      </w:r>
      <w:r>
        <w:rPr>
          <w:rFonts w:hint="eastAsia" w:ascii="方正仿宋_GBK" w:hAnsi="方正仿宋_GBK" w:eastAsia="方正仿宋_GBK" w:cs="方正仿宋_GBK"/>
          <w:i w:val="0"/>
          <w:iCs w:val="0"/>
          <w:caps w:val="0"/>
          <w:color w:val="171A1D"/>
          <w:spacing w:val="0"/>
          <w:sz w:val="32"/>
          <w:szCs w:val="32"/>
          <w:shd w:val="clear" w:fill="FFFFFF"/>
        </w:rPr>
        <w:t>万元，增长</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9.39</w:t>
      </w:r>
      <w:r>
        <w:rPr>
          <w:rFonts w:hint="eastAsia" w:ascii="方正仿宋_GBK" w:hAnsi="方正仿宋_GBK" w:eastAsia="方正仿宋_GBK" w:cs="方正仿宋_GBK"/>
          <w:i w:val="0"/>
          <w:iCs w:val="0"/>
          <w:caps w:val="0"/>
          <w:color w:val="171A1D"/>
          <w:spacing w:val="0"/>
          <w:sz w:val="32"/>
          <w:szCs w:val="32"/>
          <w:shd w:val="clear" w:fill="FFFFFF"/>
        </w:rPr>
        <w:t>%。主要原因是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项目追加及2022年人员经费有所增加，故一般公共预算财政拨款收入增加。</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3.结转结余情况。2022年度年末无一般公共预算财政拨款结转和结余资金。</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4.比较情况。本部门2022年度一般公共预算财政拨款支出主要用于以下方面：</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（1）教育支出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2.97</w:t>
      </w:r>
      <w:r>
        <w:rPr>
          <w:rFonts w:hint="eastAsia" w:ascii="方正仿宋_GBK" w:hAnsi="方正仿宋_GBK" w:eastAsia="方正仿宋_GBK" w:cs="方正仿宋_GBK"/>
          <w:i w:val="0"/>
          <w:iCs w:val="0"/>
          <w:caps w:val="0"/>
          <w:color w:val="171A1D"/>
          <w:spacing w:val="0"/>
          <w:sz w:val="32"/>
          <w:szCs w:val="32"/>
          <w:shd w:val="clear" w:fill="FFFFFF"/>
        </w:rPr>
        <w:t>万元，占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0.2</w:t>
      </w:r>
      <w:r>
        <w:rPr>
          <w:rFonts w:hint="eastAsia" w:ascii="方正仿宋_GBK" w:hAnsi="方正仿宋_GBK" w:eastAsia="方正仿宋_GBK" w:cs="方正仿宋_GBK"/>
          <w:i w:val="0"/>
          <w:iCs w:val="0"/>
          <w:caps w:val="0"/>
          <w:color w:val="171A1D"/>
          <w:spacing w:val="0"/>
          <w:sz w:val="32"/>
          <w:szCs w:val="32"/>
          <w:shd w:val="clear" w:fill="FFFFFF"/>
        </w:rPr>
        <w:t>%，较年初预算数</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相比，持平</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（2）社会保障与就业支出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109.96</w:t>
      </w:r>
      <w:r>
        <w:rPr>
          <w:rFonts w:hint="eastAsia" w:ascii="方正仿宋_GBK" w:hAnsi="方正仿宋_GBK" w:eastAsia="方正仿宋_GBK" w:cs="方正仿宋_GBK"/>
          <w:i w:val="0"/>
          <w:iCs w:val="0"/>
          <w:caps w:val="0"/>
          <w:color w:val="171A1D"/>
          <w:spacing w:val="0"/>
          <w:sz w:val="32"/>
          <w:szCs w:val="32"/>
          <w:shd w:val="clear" w:fill="FFFFFF"/>
        </w:rPr>
        <w:t>万元，占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7.37</w:t>
      </w:r>
      <w:r>
        <w:rPr>
          <w:rFonts w:hint="eastAsia" w:ascii="方正仿宋_GBK" w:hAnsi="方正仿宋_GBK" w:eastAsia="方正仿宋_GBK" w:cs="方正仿宋_GBK"/>
          <w:i w:val="0"/>
          <w:iCs w:val="0"/>
          <w:caps w:val="0"/>
          <w:color w:val="171A1D"/>
          <w:spacing w:val="0"/>
          <w:sz w:val="32"/>
          <w:szCs w:val="32"/>
          <w:shd w:val="clear" w:fill="FFFFFF"/>
        </w:rPr>
        <w:t>%，较年初预算数</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减少8.64</w:t>
      </w:r>
      <w:r>
        <w:rPr>
          <w:rFonts w:hint="eastAsia" w:ascii="方正仿宋_GBK" w:hAnsi="方正仿宋_GBK" w:eastAsia="方正仿宋_GBK" w:cs="方正仿宋_GBK"/>
          <w:i w:val="0"/>
          <w:iCs w:val="0"/>
          <w:caps w:val="0"/>
          <w:color w:val="171A1D"/>
          <w:spacing w:val="0"/>
          <w:sz w:val="32"/>
          <w:szCs w:val="32"/>
          <w:shd w:val="clear" w:fill="FFFFFF"/>
        </w:rPr>
        <w:t>万元，</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减少7.28</w:t>
      </w:r>
      <w:r>
        <w:rPr>
          <w:rFonts w:hint="eastAsia" w:ascii="方正仿宋_GBK" w:hAnsi="方正仿宋_GBK" w:eastAsia="方正仿宋_GBK" w:cs="方正仿宋_GBK"/>
          <w:i w:val="0"/>
          <w:iCs w:val="0"/>
          <w:caps w:val="0"/>
          <w:color w:val="171A1D"/>
          <w:spacing w:val="0"/>
          <w:sz w:val="32"/>
          <w:szCs w:val="32"/>
          <w:shd w:val="clear" w:fill="FFFFFF"/>
        </w:rPr>
        <w:t xml:space="preserve"> %，主要原因是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2022年退休3人，故社会保障与就业支出减少。</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（3）卫生健康支出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34.37</w:t>
      </w:r>
      <w:r>
        <w:rPr>
          <w:rFonts w:hint="eastAsia" w:ascii="方正仿宋_GBK" w:hAnsi="方正仿宋_GBK" w:eastAsia="方正仿宋_GBK" w:cs="方正仿宋_GBK"/>
          <w:i w:val="0"/>
          <w:iCs w:val="0"/>
          <w:caps w:val="0"/>
          <w:color w:val="171A1D"/>
          <w:spacing w:val="0"/>
          <w:sz w:val="32"/>
          <w:szCs w:val="32"/>
          <w:shd w:val="clear" w:fill="FFFFFF"/>
        </w:rPr>
        <w:t>万元，占</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2.3</w:t>
      </w:r>
      <w:r>
        <w:rPr>
          <w:rFonts w:hint="eastAsia" w:ascii="方正仿宋_GBK" w:hAnsi="方正仿宋_GBK" w:eastAsia="方正仿宋_GBK" w:cs="方正仿宋_GBK"/>
          <w:i w:val="0"/>
          <w:iCs w:val="0"/>
          <w:caps w:val="0"/>
          <w:color w:val="171A1D"/>
          <w:spacing w:val="0"/>
          <w:sz w:val="32"/>
          <w:szCs w:val="32"/>
          <w:shd w:val="clear" w:fill="FFFFFF"/>
        </w:rPr>
        <w:t>%，较年初预算数</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相比，持平。</w:t>
      </w:r>
    </w:p>
    <w:p>
      <w:pPr>
        <w:numPr>
          <w:ilvl w:val="0"/>
          <w:numId w:val="0"/>
        </w:numPr>
        <w:spacing w:line="600" w:lineRule="exact"/>
        <w:ind w:left="0" w:leftChars="0" w:firstLine="649" w:firstLineChars="203"/>
      </w:pPr>
      <w:r>
        <w:rPr>
          <w:rFonts w:hint="eastAsia" w:ascii="方正仿宋_GBK" w:hAnsi="方正仿宋_GBK" w:eastAsia="方正仿宋_GBK" w:cs="方正仿宋_GBK"/>
          <w:i w:val="0"/>
          <w:iCs w:val="0"/>
          <w:caps w:val="0"/>
          <w:color w:val="171A1D"/>
          <w:spacing w:val="0"/>
          <w:kern w:val="2"/>
          <w:sz w:val="32"/>
          <w:szCs w:val="32"/>
          <w:shd w:val="clear" w:fill="FFFFFF"/>
          <w:lang w:val="en-US" w:eastAsia="zh-CN" w:bidi="ar-SA"/>
        </w:rPr>
        <w:t>(4）</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交通运输支出1320.06万元，占88.53%，较年初预算相比，增加148.59元，增加11.26%，主要原因是2022年项目支出增加。</w:t>
      </w:r>
    </w:p>
    <w:p>
      <w:pPr>
        <w:numPr>
          <w:ilvl w:val="0"/>
          <w:numId w:val="0"/>
        </w:numPr>
        <w:spacing w:line="600" w:lineRule="exact"/>
        <w:ind w:left="0" w:leftChars="0" w:firstLine="649" w:firstLineChars="20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（5）住房保障支出23.72万元，占1.6%，较年初预算相比，持平。</w:t>
      </w:r>
    </w:p>
    <w:p>
      <w:pPr>
        <w:numPr>
          <w:ilvl w:val="0"/>
          <w:numId w:val="0"/>
        </w:numPr>
        <w:spacing w:line="600" w:lineRule="exact"/>
        <w:ind w:left="0" w:leftChars="0" w:firstLine="640" w:firstLineChars="200"/>
        <w:rPr>
          <w:rFonts w:hint="eastAsia" w:ascii="方正仿宋_GBK" w:hAnsi="方正仿宋_GBK" w:eastAsia="方正仿宋_GBK" w:cs="方正仿宋_GBK"/>
          <w:color w:val="auto"/>
          <w:sz w:val="32"/>
          <w:szCs w:val="32"/>
          <w:highlight w:val="yellow"/>
          <w:lang w:val="en-US" w:eastAsia="zh-CN"/>
        </w:rPr>
      </w:pPr>
      <w:r>
        <w:rPr>
          <w:rFonts w:hint="eastAsia" w:ascii="Times New Roman" w:hAnsi="Times New Roman" w:eastAsia="方正楷体_GBK" w:cs="Times New Roman"/>
          <w:color w:val="333333"/>
          <w:sz w:val="32"/>
          <w:szCs w:val="32"/>
        </w:rPr>
        <w:t>（四）一般公共预算财政拨款基本支出决算情况说明。</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rPr>
        <w:t>2022年度一般公共财政拨款基本支出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610.76</w:t>
      </w:r>
      <w:r>
        <w:rPr>
          <w:rFonts w:hint="eastAsia" w:ascii="方正仿宋_GBK" w:hAnsi="方正仿宋_GBK" w:eastAsia="方正仿宋_GBK" w:cs="方正仿宋_GBK"/>
          <w:i w:val="0"/>
          <w:iCs w:val="0"/>
          <w:caps w:val="0"/>
          <w:color w:val="171A1D"/>
          <w:spacing w:val="0"/>
          <w:sz w:val="32"/>
          <w:szCs w:val="32"/>
          <w:shd w:val="clear" w:fill="FFFFFF"/>
        </w:rPr>
        <w:t>万元。其中：人员经费</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522.58</w:t>
      </w:r>
      <w:r>
        <w:rPr>
          <w:rFonts w:hint="eastAsia" w:ascii="方正仿宋_GBK" w:hAnsi="方正仿宋_GBK" w:eastAsia="方正仿宋_GBK" w:cs="方正仿宋_GBK"/>
          <w:i w:val="0"/>
          <w:iCs w:val="0"/>
          <w:caps w:val="0"/>
          <w:color w:val="171A1D"/>
          <w:spacing w:val="0"/>
          <w:sz w:val="32"/>
          <w:szCs w:val="32"/>
          <w:shd w:val="clear" w:fill="FFFFFF"/>
        </w:rPr>
        <w:t>万元，人员经费用途主要包括基本工资、津贴补贴、奖金、社会保障缴费等。公用经费</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88.18</w:t>
      </w:r>
      <w:r>
        <w:rPr>
          <w:rFonts w:hint="eastAsia" w:ascii="方正仿宋_GBK" w:hAnsi="方正仿宋_GBK" w:eastAsia="方正仿宋_GBK" w:cs="方正仿宋_GBK"/>
          <w:i w:val="0"/>
          <w:iCs w:val="0"/>
          <w:caps w:val="0"/>
          <w:color w:val="171A1D"/>
          <w:spacing w:val="0"/>
          <w:sz w:val="32"/>
          <w:szCs w:val="32"/>
          <w:shd w:val="clear" w:fill="FFFFFF"/>
        </w:rPr>
        <w:t>万元，公用经费用途主要包括办公费、印刷费、水费、电费、邮电费、差旅费、维修（护）费、公务接待费、劳务费等。</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Times New Roman" w:hAnsi="Times New Roman" w:eastAsia="方正楷体_GBK" w:cs="Times New Roman"/>
          <w:color w:val="333333"/>
          <w:sz w:val="32"/>
          <w:szCs w:val="32"/>
        </w:rPr>
        <w:t>（五）政府性基金预算收支决算情况说明。</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32"/>
          <w:szCs w:val="32"/>
          <w:shd w:val="clear" w:fill="FFFFFF"/>
        </w:rPr>
        <w:t>2022年度政府性基金预算财政拨款年初结转结余</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9.6</w:t>
      </w:r>
      <w:r>
        <w:rPr>
          <w:rFonts w:hint="eastAsia" w:ascii="方正仿宋_GBK" w:hAnsi="方正仿宋_GBK" w:eastAsia="方正仿宋_GBK" w:cs="方正仿宋_GBK"/>
          <w:i w:val="0"/>
          <w:iCs w:val="0"/>
          <w:caps w:val="0"/>
          <w:color w:val="171A1D"/>
          <w:spacing w:val="0"/>
          <w:sz w:val="32"/>
          <w:szCs w:val="32"/>
          <w:shd w:val="clear" w:fill="FFFFFF"/>
        </w:rPr>
        <w:t>万元，年末无结转结余资金。本年收入</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9.6</w:t>
      </w:r>
      <w:r>
        <w:rPr>
          <w:rFonts w:hint="eastAsia" w:ascii="方正仿宋_GBK" w:hAnsi="方正仿宋_GBK" w:eastAsia="方正仿宋_GBK" w:cs="方正仿宋_GBK"/>
          <w:i w:val="0"/>
          <w:iCs w:val="0"/>
          <w:caps w:val="0"/>
          <w:color w:val="171A1D"/>
          <w:spacing w:val="0"/>
          <w:sz w:val="32"/>
          <w:szCs w:val="32"/>
          <w:shd w:val="clear" w:fill="FFFFFF"/>
        </w:rPr>
        <w:t>万元。本年支出</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9.6</w:t>
      </w:r>
      <w:r>
        <w:rPr>
          <w:rFonts w:hint="eastAsia" w:ascii="方正仿宋_GBK" w:hAnsi="方正仿宋_GBK" w:eastAsia="方正仿宋_GBK" w:cs="方正仿宋_GBK"/>
          <w:i w:val="0"/>
          <w:iCs w:val="0"/>
          <w:caps w:val="0"/>
          <w:color w:val="171A1D"/>
          <w:spacing w:val="0"/>
          <w:sz w:val="32"/>
          <w:szCs w:val="32"/>
          <w:shd w:val="clear" w:fill="FFFFFF"/>
        </w:rPr>
        <w:t>万元</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lang w:val="en-US" w:eastAsia="zh-CN"/>
        </w:rPr>
        <w:t xml:space="preserve">  </w:t>
      </w:r>
      <w:r>
        <w:rPr>
          <w:rFonts w:hint="eastAsia" w:ascii="Times New Roman" w:hAnsi="Times New Roman" w:eastAsia="方正楷体_GBK" w:cs="Times New Roman"/>
          <w:color w:val="333333"/>
          <w:sz w:val="32"/>
          <w:szCs w:val="32"/>
          <w:lang w:val="en-US" w:eastAsia="zh-CN"/>
        </w:rPr>
        <w:t xml:space="preserve"> </w:t>
      </w:r>
      <w:r>
        <w:rPr>
          <w:rFonts w:hint="eastAsia" w:ascii="Times New Roman" w:hAnsi="Times New Roman" w:eastAsia="方正楷体_GBK" w:cs="Times New Roman"/>
          <w:color w:val="333333"/>
          <w:sz w:val="32"/>
          <w:szCs w:val="32"/>
        </w:rPr>
        <w:t>（六）国有资本经营预算财政拨款收支决算情况说明</w:t>
      </w:r>
      <w:r>
        <w:rPr>
          <w:rFonts w:hint="eastAsia" w:ascii="方正仿宋_GBK" w:hAnsi="方正仿宋_GBK" w:eastAsia="方正仿宋_GBK" w:cs="方正仿宋_GBK"/>
          <w:i w:val="0"/>
          <w:iCs w:val="0"/>
          <w:caps w:val="0"/>
          <w:color w:val="171A1D"/>
          <w:spacing w:val="0"/>
          <w:sz w:val="32"/>
          <w:szCs w:val="32"/>
          <w:shd w:val="clear" w:fill="FFFFFF"/>
        </w:rPr>
        <w:t>。</w:t>
      </w:r>
      <w:r>
        <w:rPr>
          <w:rFonts w:hint="eastAsia" w:ascii="方正仿宋_GBK" w:hAnsi="方正仿宋_GBK" w:eastAsia="方正仿宋_GBK" w:cs="方正仿宋_GBK"/>
          <w:i w:val="0"/>
          <w:iCs w:val="0"/>
          <w:caps w:val="0"/>
          <w:color w:val="171A1D"/>
          <w:spacing w:val="0"/>
          <w:sz w:val="32"/>
          <w:szCs w:val="32"/>
          <w:shd w:val="clear" w:fill="FFFFFF"/>
        </w:rPr>
        <w:br w:type="textWrapping"/>
      </w:r>
      <w:r>
        <w:rPr>
          <w:rFonts w:hint="eastAsia" w:ascii="方正仿宋_GBK" w:hAnsi="方正仿宋_GBK" w:eastAsia="方正仿宋_GBK" w:cs="方正仿宋_GBK"/>
          <w:i w:val="0"/>
          <w:iCs w:val="0"/>
          <w:caps w:val="0"/>
          <w:color w:val="171A1D"/>
          <w:spacing w:val="0"/>
          <w:sz w:val="32"/>
          <w:szCs w:val="32"/>
          <w:shd w:val="clear" w:fill="FFFFFF"/>
        </w:rPr>
        <w:t>本</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单位</w:t>
      </w:r>
      <w:r>
        <w:rPr>
          <w:rFonts w:hint="eastAsia" w:ascii="方正仿宋_GBK" w:hAnsi="方正仿宋_GBK" w:eastAsia="方正仿宋_GBK" w:cs="方正仿宋_GBK"/>
          <w:i w:val="0"/>
          <w:iCs w:val="0"/>
          <w:caps w:val="0"/>
          <w:color w:val="171A1D"/>
          <w:spacing w:val="0"/>
          <w:sz w:val="32"/>
          <w:szCs w:val="32"/>
          <w:shd w:val="clear" w:fill="FFFFFF"/>
        </w:rPr>
        <w:t>2022年度无国有资本经营预算财政拨款收支。</w:t>
      </w:r>
    </w:p>
    <w:p>
      <w:pPr>
        <w:spacing w:line="600" w:lineRule="exact"/>
        <w:ind w:firstLine="640" w:firstLineChars="200"/>
        <w:rPr>
          <w:rFonts w:hint="eastAsia" w:ascii="Times New Roman" w:hAnsi="Times New Roman"/>
          <w:sz w:val="30"/>
          <w:szCs w:val="30"/>
        </w:rPr>
      </w:pPr>
      <w:r>
        <w:rPr>
          <w:rFonts w:hint="eastAsia" w:ascii="Times New Roman" w:hAnsi="Times New Roman" w:eastAsia="方正黑体_GBK"/>
          <w:sz w:val="32"/>
          <w:szCs w:val="32"/>
        </w:rPr>
        <w:t xml:space="preserve">三、“三公”经费情况说明 </w:t>
      </w:r>
    </w:p>
    <w:p>
      <w:pPr>
        <w:spacing w:line="600" w:lineRule="exact"/>
        <w:ind w:firstLine="640" w:firstLineChars="200"/>
        <w:rPr>
          <w:rFonts w:hint="eastAsia" w:ascii="Times New Roman" w:hAnsi="Times New Roman" w:eastAsia="方正楷体_GBK"/>
          <w:color w:val="333333"/>
          <w:sz w:val="32"/>
          <w:szCs w:val="32"/>
        </w:rPr>
      </w:pPr>
      <w:r>
        <w:rPr>
          <w:rFonts w:hint="eastAsia" w:ascii="Times New Roman" w:hAnsi="Times New Roman" w:eastAsia="方正楷体_GBK"/>
          <w:color w:val="333333"/>
          <w:sz w:val="32"/>
          <w:szCs w:val="32"/>
        </w:rPr>
        <w:t>（一）“三公”经费支出情况。</w:t>
      </w:r>
    </w:p>
    <w:p>
      <w:pPr>
        <w:numPr>
          <w:ilvl w:val="0"/>
          <w:numId w:val="0"/>
        </w:numPr>
        <w:spacing w:line="600" w:lineRule="exact"/>
        <w:ind w:left="0" w:leftChars="0" w:firstLine="640" w:firstLineChars="200"/>
        <w:rPr>
          <w:rFonts w:hint="default"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2022年度本单位“三公”经费为15.15万元，其中，公务车3辆，运行维护费14.99万元；公务接待费支出0.16万元；因公出国（境）费0万元。</w:t>
      </w:r>
    </w:p>
    <w:p>
      <w:pPr>
        <w:numPr>
          <w:ilvl w:val="0"/>
          <w:numId w:val="0"/>
        </w:numPr>
        <w:spacing w:line="600" w:lineRule="exact"/>
        <w:ind w:left="0" w:leftChars="0" w:firstLine="640" w:firstLineChars="200"/>
        <w:rPr>
          <w:rFonts w:hint="default"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公务车运行维护费14.99万元，主要用于公务车因公出行，辖区内各码头、渡口、航道、支小河流的安全巡查和环保检查等工作所需车辆的燃料费、维修费、过路过桥费、保险费等。年初预算15万元，较年初预算相比，基本持平。</w:t>
      </w:r>
    </w:p>
    <w:p>
      <w:pPr>
        <w:numPr>
          <w:ilvl w:val="0"/>
          <w:numId w:val="0"/>
        </w:numPr>
        <w:spacing w:line="600" w:lineRule="exact"/>
        <w:ind w:left="0" w:leftChars="0" w:firstLine="640" w:firstLineChars="200"/>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公务接待费支出0.16万元，主要用于接待上级单位到我单位学习，接受相关部门检查指导工作发生的接待支出费。年初预算为1万元，较年初预算数相比，减少0.84万元，减少主要原因为我单位本着一切从节约出发，严格按标准控制接待陪餐人数等，从而降低了公务接待支出；</w:t>
      </w:r>
    </w:p>
    <w:p>
      <w:pPr>
        <w:numPr>
          <w:ilvl w:val="0"/>
          <w:numId w:val="0"/>
        </w:numPr>
        <w:spacing w:line="600" w:lineRule="exact"/>
        <w:ind w:left="0" w:leftChars="0" w:firstLine="640" w:firstLineChars="200"/>
        <w:rPr>
          <w:rFonts w:hint="default"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因公出国（境）费0万元，2022年未安排单位人员出国出访。</w:t>
      </w:r>
    </w:p>
    <w:p>
      <w:pPr>
        <w:numPr>
          <w:ilvl w:val="0"/>
          <w:numId w:val="1"/>
        </w:numPr>
        <w:spacing w:line="600" w:lineRule="exact"/>
        <w:ind w:left="0" w:leftChars="0" w:firstLine="640" w:firstLineChars="200"/>
        <w:rPr>
          <w:rFonts w:hint="eastAsia" w:ascii="Times New Roman" w:hAnsi="Times New Roman" w:eastAsia="方正仿宋_GBK" w:cs="宋体"/>
          <w:color w:val="0000FF"/>
          <w:kern w:val="0"/>
          <w:sz w:val="32"/>
          <w:szCs w:val="32"/>
        </w:rPr>
      </w:pPr>
      <w:r>
        <w:rPr>
          <w:rFonts w:hint="eastAsia" w:ascii="Times New Roman" w:hAnsi="Times New Roman" w:eastAsia="方正楷体_GBK"/>
          <w:color w:val="333333"/>
          <w:sz w:val="32"/>
          <w:szCs w:val="32"/>
        </w:rPr>
        <w:t>“三公”经费实物量情况。</w:t>
      </w:r>
    </w:p>
    <w:p>
      <w:pPr>
        <w:numPr>
          <w:ilvl w:val="0"/>
          <w:numId w:val="0"/>
        </w:numPr>
        <w:spacing w:line="600" w:lineRule="exact"/>
        <w:ind w:left="0" w:leftChars="0" w:firstLine="640" w:firstLineChars="200"/>
        <w:rPr>
          <w:rFonts w:hint="eastAsia" w:ascii="方正仿宋_GBK" w:hAnsi="方正仿宋_GBK" w:eastAsia="方正仿宋_GBK" w:cs="方正仿宋_GBK"/>
          <w:color w:val="0000FF"/>
          <w:kern w:val="0"/>
          <w:sz w:val="32"/>
          <w:szCs w:val="32"/>
          <w:lang w:val="en-US" w:eastAsia="zh-CN"/>
        </w:rPr>
      </w:pPr>
      <w:r>
        <w:rPr>
          <w:rFonts w:hint="eastAsia" w:ascii="方正仿宋_GBK" w:hAnsi="方正仿宋_GBK" w:eastAsia="方正仿宋_GBK" w:cs="方正仿宋_GBK"/>
          <w:color w:val="333333"/>
          <w:sz w:val="32"/>
          <w:szCs w:val="32"/>
          <w:lang w:val="en-US" w:eastAsia="zh-CN"/>
        </w:rPr>
        <w:t>2022年度本单位因出国（境）共计0个团组，0人；公务用车用车购置0辆，公务车保有量为3辆；国内公务接待2批次，共计16人，共中：国内外事接待0批次，0人；国（境）外公务接待0批次，0人。2022年本年度人均接待费98.56元，车均购置费0万元，车均维护费4.99万元。</w:t>
      </w:r>
    </w:p>
    <w:p>
      <w:pPr>
        <w:pStyle w:val="12"/>
        <w:tabs>
          <w:tab w:val="center" w:pos="4153"/>
          <w:tab w:val="left" w:pos="7275"/>
        </w:tabs>
        <w:spacing w:line="600" w:lineRule="exact"/>
        <w:ind w:left="0" w:leftChars="0"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spacing w:line="600" w:lineRule="exact"/>
        <w:ind w:firstLine="480" w:firstLineChars="150"/>
        <w:rPr>
          <w:rFonts w:hint="eastAsia" w:ascii="Times New Roman" w:hAnsi="Times New Roman" w:eastAsia="方正楷体_GBK"/>
          <w:color w:val="333333"/>
          <w:sz w:val="32"/>
          <w:szCs w:val="32"/>
        </w:rPr>
      </w:pPr>
      <w:r>
        <w:rPr>
          <w:rFonts w:hint="eastAsia" w:ascii="Times New Roman" w:hAnsi="Times New Roman" w:eastAsia="方正楷体_GBK"/>
          <w:color w:val="333333"/>
          <w:sz w:val="32"/>
          <w:szCs w:val="32"/>
        </w:rPr>
        <w:t>（一）机关运行经费情况说明。</w:t>
      </w:r>
    </w:p>
    <w:p>
      <w:pPr>
        <w:spacing w:line="600" w:lineRule="exact"/>
        <w:ind w:firstLine="800" w:firstLineChars="250"/>
        <w:rPr>
          <w:rFonts w:hint="default"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按照部门决算列报口径，我单位不在机关运行经费统计范围之内。</w:t>
      </w:r>
    </w:p>
    <w:p>
      <w:pPr>
        <w:numPr>
          <w:ilvl w:val="0"/>
          <w:numId w:val="0"/>
        </w:numPr>
        <w:spacing w:line="600" w:lineRule="exact"/>
        <w:ind w:firstLine="640" w:firstLineChars="200"/>
        <w:rPr>
          <w:rFonts w:hint="eastAsia" w:ascii="Times New Roman" w:hAnsi="Times New Roman" w:eastAsia="方正仿宋_GBK" w:cs="宋体"/>
          <w:color w:val="4F81BD" w:themeColor="accent1"/>
          <w:kern w:val="0"/>
          <w:sz w:val="32"/>
          <w:szCs w:val="32"/>
          <w14:textFill>
            <w14:solidFill>
              <w14:schemeClr w14:val="accent1"/>
            </w14:solidFill>
          </w14:textFill>
        </w:rPr>
      </w:pPr>
      <w:r>
        <w:rPr>
          <w:rFonts w:hint="eastAsia" w:ascii="Times New Roman" w:hAnsi="Times New Roman" w:eastAsia="方正楷体_GBK"/>
          <w:color w:val="333333"/>
          <w:sz w:val="32"/>
          <w:szCs w:val="32"/>
          <w:lang w:val="en-US" w:eastAsia="zh-CN"/>
        </w:rPr>
        <w:t>(二）</w:t>
      </w:r>
      <w:r>
        <w:rPr>
          <w:rFonts w:hint="eastAsia" w:ascii="Times New Roman" w:hAnsi="Times New Roman" w:eastAsia="方正楷体_GBK"/>
          <w:color w:val="333333"/>
          <w:sz w:val="32"/>
          <w:szCs w:val="32"/>
        </w:rPr>
        <w:t>国有资产占用情况说明。</w:t>
      </w:r>
    </w:p>
    <w:p>
      <w:pPr>
        <w:numPr>
          <w:ilvl w:val="0"/>
          <w:numId w:val="0"/>
        </w:numPr>
        <w:spacing w:line="600" w:lineRule="exact"/>
        <w:ind w:left="0" w:leftChars="0" w:firstLine="640" w:firstLineChars="200"/>
        <w:rPr>
          <w:rFonts w:hint="default"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截止至2022年12月31日，我单位共有公务车3辆，所有车辆均为应急保障用车，主要用于辖区内现场检查等公务活动。无单价100万元（含）以上的设备。</w:t>
      </w:r>
    </w:p>
    <w:p>
      <w:pPr>
        <w:numPr>
          <w:ilvl w:val="0"/>
          <w:numId w:val="1"/>
        </w:numPr>
        <w:spacing w:line="600" w:lineRule="exact"/>
        <w:ind w:left="0" w:leftChars="0" w:firstLine="640" w:firstLineChars="200"/>
        <w:rPr>
          <w:rFonts w:hint="eastAsia" w:ascii="Times New Roman" w:hAnsi="Times New Roman" w:eastAsia="方正仿宋_GBK" w:cs="宋体"/>
          <w:kern w:val="0"/>
          <w:sz w:val="32"/>
          <w:szCs w:val="32"/>
        </w:rPr>
      </w:pPr>
      <w:r>
        <w:rPr>
          <w:rFonts w:hint="eastAsia" w:ascii="Times New Roman" w:hAnsi="Times New Roman" w:eastAsia="方正楷体_GBK"/>
          <w:color w:val="333333"/>
          <w:sz w:val="32"/>
          <w:szCs w:val="32"/>
        </w:rPr>
        <w:t>政府采购支出情况说明。</w:t>
      </w:r>
    </w:p>
    <w:p>
      <w:pPr>
        <w:numPr>
          <w:ilvl w:val="0"/>
          <w:numId w:val="0"/>
        </w:numPr>
        <w:spacing w:line="600" w:lineRule="exact"/>
        <w:ind w:left="0" w:leftChars="0" w:firstLine="419" w:firstLineChars="131"/>
        <w:rPr>
          <w:rFonts w:hint="eastAsia"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 xml:space="preserve">  2022年度我单位政府采购支出总额170.31万元，其中：政府采购货物支出1.82万元，政府采购服务支出168.49万元，政府采购工程支出0万元，授予中小企业合同金额170.31万元占政府采购支出总额的100%，其中：授予小微企业合同金额170.31万元，占政府采购支出总额的100%。</w:t>
      </w:r>
    </w:p>
    <w:p>
      <w:pPr>
        <w:spacing w:line="600" w:lineRule="exact"/>
        <w:ind w:firstLine="640" w:firstLineChars="200"/>
        <w:rPr>
          <w:rFonts w:hint="eastAsia" w:ascii="Times New Roman" w:hAnsi="Times New Roman" w:eastAsia="方正仿宋_GBK" w:cs="宋体"/>
          <w:b/>
          <w:kern w:val="0"/>
          <w:sz w:val="32"/>
          <w:szCs w:val="32"/>
        </w:rPr>
      </w:pPr>
      <w:r>
        <w:rPr>
          <w:rFonts w:hint="eastAsia" w:ascii="Times New Roman" w:hAnsi="Times New Roman" w:eastAsia="方正黑体_GBK" w:cs="宋体"/>
          <w:kern w:val="0"/>
          <w:sz w:val="32"/>
          <w:szCs w:val="32"/>
        </w:rPr>
        <w:t>五、预算绩效管理情况说明</w:t>
      </w:r>
    </w:p>
    <w:p>
      <w:pPr>
        <w:pStyle w:val="12"/>
        <w:tabs>
          <w:tab w:val="center" w:pos="4153"/>
          <w:tab w:val="left" w:pos="7275"/>
        </w:tabs>
        <w:spacing w:line="600" w:lineRule="exact"/>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（一）预算绩效管理工作开展情况</w:t>
      </w:r>
    </w:p>
    <w:p>
      <w:pPr>
        <w:pStyle w:val="12"/>
        <w:tabs>
          <w:tab w:val="center" w:pos="4153"/>
          <w:tab w:val="left" w:pos="7275"/>
        </w:tabs>
        <w:spacing w:line="600" w:lineRule="exact"/>
        <w:ind w:firstLine="640"/>
        <w:rPr>
          <w:rFonts w:hint="eastAsia" w:ascii="方正仿宋_GBK" w:hAnsi="方正仿宋_GBK" w:eastAsia="方正仿宋_GBK" w:cs="方正仿宋_GBK"/>
          <w:i w:val="0"/>
          <w:iCs w:val="0"/>
          <w:caps w:val="0"/>
          <w:color w:val="171A1D"/>
          <w:spacing w:val="0"/>
          <w:sz w:val="32"/>
          <w:szCs w:val="32"/>
          <w:shd w:val="clear" w:fill="FFFFFF"/>
        </w:rPr>
      </w:pPr>
      <w:r>
        <w:rPr>
          <w:rFonts w:hint="eastAsia" w:ascii="方正仿宋_GBK" w:hAnsi="方正仿宋_GBK" w:eastAsia="方正仿宋_GBK" w:cs="方正仿宋_GBK"/>
          <w:i w:val="0"/>
          <w:iCs w:val="0"/>
          <w:caps w:val="0"/>
          <w:color w:val="171A1D"/>
          <w:spacing w:val="0"/>
          <w:sz w:val="32"/>
          <w:szCs w:val="32"/>
          <w:shd w:val="clear" w:fill="FFFFFF"/>
        </w:rPr>
        <w:t>根据预算绩效管理要求，我单位对1</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0</w:t>
      </w:r>
      <w:r>
        <w:rPr>
          <w:rFonts w:hint="eastAsia" w:ascii="方正仿宋_GBK" w:hAnsi="方正仿宋_GBK" w:eastAsia="方正仿宋_GBK" w:cs="方正仿宋_GBK"/>
          <w:i w:val="0"/>
          <w:iCs w:val="0"/>
          <w:caps w:val="0"/>
          <w:color w:val="171A1D"/>
          <w:spacing w:val="0"/>
          <w:sz w:val="32"/>
          <w:szCs w:val="32"/>
          <w:shd w:val="clear" w:fill="FFFFFF"/>
        </w:rPr>
        <w:t>个项目开展了绩效自评，其中，以填报目标自评表形式开展自评1</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0</w:t>
      </w:r>
      <w:r>
        <w:rPr>
          <w:rFonts w:hint="eastAsia" w:ascii="方正仿宋_GBK" w:hAnsi="方正仿宋_GBK" w:eastAsia="方正仿宋_GBK" w:cs="方正仿宋_GBK"/>
          <w:i w:val="0"/>
          <w:iCs w:val="0"/>
          <w:caps w:val="0"/>
          <w:color w:val="171A1D"/>
          <w:spacing w:val="0"/>
          <w:sz w:val="32"/>
          <w:szCs w:val="32"/>
          <w:shd w:val="clear" w:fill="FFFFFF"/>
        </w:rPr>
        <w:t>项，涉及资金1065.45万元；以委托第三方形式开展绩效自评0项，涉及资金0万元。</w:t>
      </w:r>
    </w:p>
    <w:p>
      <w:pPr>
        <w:pStyle w:val="12"/>
        <w:tabs>
          <w:tab w:val="center" w:pos="4153"/>
          <w:tab w:val="left" w:pos="7275"/>
        </w:tabs>
        <w:spacing w:line="600" w:lineRule="exact"/>
        <w:ind w:left="0" w:leftChars="0"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（二）绩效自评结果</w:t>
      </w:r>
    </w:p>
    <w:p>
      <w:pPr>
        <w:pStyle w:val="12"/>
        <w:tabs>
          <w:tab w:val="center" w:pos="4153"/>
          <w:tab w:val="left" w:pos="7275"/>
        </w:tabs>
        <w:spacing w:line="600" w:lineRule="exact"/>
        <w:rPr>
          <w:rFonts w:hint="eastAsia" w:ascii="Times New Roman" w:hAnsi="Times New Roman" w:eastAsia="方正仿宋_GBK" w:cs="宋体"/>
          <w:b w:val="0"/>
          <w:bCs/>
          <w:kern w:val="0"/>
          <w:sz w:val="32"/>
          <w:szCs w:val="32"/>
        </w:rPr>
      </w:pPr>
      <w:r>
        <w:rPr>
          <w:rFonts w:hint="eastAsia" w:ascii="Times New Roman" w:hAnsi="Times New Roman" w:eastAsia="方正仿宋_GBK" w:cs="宋体"/>
          <w:b w:val="0"/>
          <w:bCs/>
          <w:kern w:val="0"/>
          <w:sz w:val="32"/>
          <w:szCs w:val="32"/>
        </w:rPr>
        <w:t>1</w:t>
      </w:r>
      <w:r>
        <w:rPr>
          <w:rFonts w:ascii="Times New Roman" w:hAnsi="Times New Roman" w:eastAsia="方正仿宋_GBK" w:cs="宋体"/>
          <w:b w:val="0"/>
          <w:bCs/>
          <w:kern w:val="0"/>
          <w:sz w:val="32"/>
          <w:szCs w:val="32"/>
        </w:rPr>
        <w:t>.</w:t>
      </w:r>
      <w:r>
        <w:rPr>
          <w:rFonts w:hint="eastAsia" w:ascii="Times New Roman" w:hAnsi="Times New Roman" w:eastAsia="方正仿宋_GBK" w:cs="宋体"/>
          <w:b w:val="0"/>
          <w:bCs/>
          <w:kern w:val="0"/>
          <w:sz w:val="32"/>
          <w:szCs w:val="32"/>
        </w:rPr>
        <w:t>绩效目标自评表</w:t>
      </w:r>
    </w:p>
    <w:p>
      <w:pPr>
        <w:pStyle w:val="12"/>
        <w:tabs>
          <w:tab w:val="center" w:pos="4153"/>
          <w:tab w:val="left" w:pos="7275"/>
        </w:tabs>
        <w:spacing w:line="600" w:lineRule="exact"/>
        <w:ind w:firstLine="640"/>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color w:val="000000"/>
          <w:kern w:val="0"/>
          <w:sz w:val="32"/>
          <w:szCs w:val="32"/>
        </w:rPr>
        <w:t>（1</w:t>
      </w:r>
      <w:r>
        <w:rPr>
          <w:rFonts w:ascii="Times New Roman" w:hAnsi="Times New Roman" w:eastAsia="方正仿宋_GBK" w:cs="宋体"/>
          <w:color w:val="000000"/>
          <w:kern w:val="0"/>
          <w:sz w:val="32"/>
          <w:szCs w:val="32"/>
        </w:rPr>
        <w:t>）</w:t>
      </w:r>
      <w:r>
        <w:rPr>
          <w:rFonts w:hint="eastAsia" w:ascii="Times New Roman" w:hAnsi="Times New Roman" w:eastAsia="方正仿宋_GBK" w:cs="宋体"/>
          <w:color w:val="000000"/>
          <w:kern w:val="0"/>
          <w:sz w:val="32"/>
          <w:szCs w:val="32"/>
        </w:rPr>
        <w:t>公开</w:t>
      </w:r>
      <w:r>
        <w:rPr>
          <w:rFonts w:ascii="Times New Roman" w:hAnsi="Times New Roman" w:eastAsia="方正仿宋_GBK" w:cs="宋体"/>
          <w:color w:val="000000"/>
          <w:kern w:val="0"/>
          <w:sz w:val="32"/>
          <w:szCs w:val="32"/>
        </w:rPr>
        <w:t>范围</w:t>
      </w:r>
      <w:r>
        <w:rPr>
          <w:rFonts w:hint="eastAsia" w:ascii="Times New Roman" w:hAnsi="Times New Roman" w:eastAsia="方正仿宋_GBK" w:cs="宋体"/>
          <w:color w:val="000000"/>
          <w:kern w:val="0"/>
          <w:sz w:val="32"/>
          <w:szCs w:val="32"/>
          <w:lang w:eastAsia="zh-CN"/>
        </w:rPr>
        <w:t>，本单位无重点专项二级项目，故选取一般性项目进行公开。</w:t>
      </w:r>
    </w:p>
    <w:p>
      <w:pPr>
        <w:pStyle w:val="12"/>
        <w:tabs>
          <w:tab w:val="center" w:pos="4153"/>
          <w:tab w:val="left" w:pos="7275"/>
        </w:tabs>
        <w:spacing w:line="600" w:lineRule="exact"/>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（2</w:t>
      </w:r>
      <w:r>
        <w:rPr>
          <w:rFonts w:ascii="Times New Roman" w:hAnsi="Times New Roman" w:eastAsia="方正仿宋_GBK" w:cs="宋体"/>
          <w:kern w:val="0"/>
          <w:sz w:val="32"/>
          <w:szCs w:val="32"/>
        </w:rPr>
        <w:t>）</w:t>
      </w:r>
      <w:r>
        <w:rPr>
          <w:rFonts w:hint="eastAsia" w:ascii="Times New Roman" w:hAnsi="Times New Roman" w:eastAsia="方正仿宋_GBK" w:cs="宋体"/>
          <w:kern w:val="0"/>
          <w:sz w:val="32"/>
          <w:szCs w:val="32"/>
        </w:rPr>
        <w:t>公开</w:t>
      </w:r>
      <w:r>
        <w:rPr>
          <w:rFonts w:ascii="Times New Roman" w:hAnsi="Times New Roman" w:eastAsia="方正仿宋_GBK" w:cs="宋体"/>
          <w:kern w:val="0"/>
          <w:sz w:val="32"/>
          <w:szCs w:val="32"/>
        </w:rPr>
        <w:t>内容。</w:t>
      </w:r>
      <w:r>
        <w:rPr>
          <w:rFonts w:hint="eastAsia" w:ascii="Times New Roman" w:hAnsi="Times New Roman" w:eastAsia="方正仿宋_GBK" w:cs="宋体"/>
          <w:kern w:val="0"/>
          <w:sz w:val="32"/>
          <w:szCs w:val="32"/>
        </w:rPr>
        <w:t>详见</w:t>
      </w:r>
      <w:r>
        <w:rPr>
          <w:rFonts w:ascii="Times New Roman" w:hAnsi="Times New Roman" w:eastAsia="方正仿宋_GBK" w:cs="宋体"/>
          <w:kern w:val="0"/>
          <w:sz w:val="32"/>
          <w:szCs w:val="32"/>
        </w:rPr>
        <w:t>表格</w:t>
      </w:r>
      <w:r>
        <w:rPr>
          <w:rFonts w:hint="eastAsia" w:ascii="Times New Roman" w:hAnsi="Times New Roman" w:eastAsia="方正仿宋_GBK" w:cs="宋体"/>
          <w:kern w:val="0"/>
          <w:sz w:val="32"/>
          <w:szCs w:val="32"/>
        </w:rPr>
        <w:t>。</w:t>
      </w:r>
    </w:p>
    <w:p>
      <w:pPr>
        <w:pStyle w:val="12"/>
        <w:tabs>
          <w:tab w:val="center" w:pos="4153"/>
          <w:tab w:val="left" w:pos="7275"/>
        </w:tabs>
        <w:spacing w:line="600" w:lineRule="exact"/>
        <w:ind w:firstLine="2160" w:firstLineChars="600"/>
        <w:jc w:val="both"/>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2022年度项目</w:t>
      </w:r>
      <w:r>
        <w:rPr>
          <w:rFonts w:hint="eastAsia" w:ascii="Times New Roman" w:hAnsi="Times New Roman" w:eastAsia="方正小标宋_GBK" w:cs="宋体"/>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96"/>
        <w:gridCol w:w="650"/>
        <w:gridCol w:w="153"/>
        <w:gridCol w:w="858"/>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585" w:type="dxa"/>
            <w:gridSpan w:val="6"/>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防汛物资购置</w:t>
            </w:r>
          </w:p>
        </w:tc>
        <w:tc>
          <w:tcPr>
            <w:tcW w:w="1011"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4"/>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64"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重庆市江津区交通局</w:t>
            </w:r>
          </w:p>
        </w:tc>
        <w:tc>
          <w:tcPr>
            <w:tcW w:w="107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046"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经济建设科</w:t>
            </w:r>
          </w:p>
        </w:tc>
        <w:tc>
          <w:tcPr>
            <w:tcW w:w="101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rPr>
            </w:pPr>
            <w:r>
              <w:rPr>
                <w:rFonts w:hint="eastAsia" w:ascii="Times New Roman" w:hAnsi="Times New Roman" w:eastAsia="方正仿宋_GBK" w:cs="宋体"/>
                <w:color w:val="000000"/>
                <w:kern w:val="0"/>
                <w:sz w:val="24"/>
                <w:szCs w:val="24"/>
                <w:lang w:val="en-US" w:eastAsia="zh-CN"/>
              </w:rPr>
              <w:t>夏斌</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rPr>
            </w:pPr>
            <w:r>
              <w:rPr>
                <w:rFonts w:hint="eastAsia" w:ascii="Times New Roman" w:hAnsi="Times New Roman" w:eastAsia="方正仿宋_GBK" w:cs="宋体"/>
                <w:color w:val="000000"/>
                <w:kern w:val="0"/>
                <w:sz w:val="24"/>
                <w:szCs w:val="24"/>
                <w:lang w:val="en-US" w:eastAsia="zh-CN"/>
              </w:rPr>
              <w:t>13452024380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075"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046"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2110" w:type="dxa"/>
            <w:gridSpan w:val="3"/>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07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046"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211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07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046"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211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90"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5695" w:type="dxa"/>
            <w:gridSpan w:val="9"/>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保证汛期船舶正常运行。</w:t>
            </w:r>
          </w:p>
        </w:tc>
        <w:tc>
          <w:tcPr>
            <w:tcW w:w="3590" w:type="dxa"/>
            <w:gridSpan w:val="3"/>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全年汛期中，船舶无事故发生，正常运行。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56"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62"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03"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5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9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5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项目实际完成率</w:t>
            </w:r>
          </w:p>
        </w:tc>
        <w:tc>
          <w:tcPr>
            <w:tcW w:w="708"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eastAsia="zh-CN"/>
              </w:rPr>
            </w:pPr>
            <w:r>
              <w:rPr>
                <w:rFonts w:hint="default" w:ascii="Arial" w:hAnsi="Arial" w:eastAsia="方正仿宋_GBK" w:cs="Arial"/>
                <w:color w:val="000000"/>
                <w:kern w:val="0"/>
                <w:sz w:val="24"/>
                <w:szCs w:val="24"/>
                <w:lang w:eastAsia="zh-CN"/>
              </w:rPr>
              <w:t>≥</w:t>
            </w:r>
          </w:p>
        </w:tc>
        <w:tc>
          <w:tcPr>
            <w:tcW w:w="762"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90</w:t>
            </w:r>
          </w:p>
        </w:tc>
        <w:tc>
          <w:tcPr>
            <w:tcW w:w="803"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858"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25</w:t>
            </w:r>
          </w:p>
        </w:tc>
        <w:tc>
          <w:tcPr>
            <w:tcW w:w="2231"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25</w:t>
            </w:r>
          </w:p>
          <w:p>
            <w:pPr>
              <w:widowControl/>
              <w:spacing w:line="300" w:lineRule="exact"/>
              <w:rPr>
                <w:rFonts w:hint="default" w:ascii="Times New Roman" w:hAnsi="Times New Roman" w:eastAsia="方正仿宋_GBK"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物资损耗率</w:t>
            </w:r>
          </w:p>
        </w:tc>
        <w:tc>
          <w:tcPr>
            <w:tcW w:w="708"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default" w:ascii="Arial" w:hAnsi="Arial" w:eastAsia="方正仿宋_GBK" w:cs="Arial"/>
                <w:color w:val="000000"/>
                <w:kern w:val="0"/>
                <w:sz w:val="24"/>
                <w:szCs w:val="24"/>
              </w:rPr>
              <w:t>≤</w:t>
            </w:r>
          </w:p>
        </w:tc>
        <w:tc>
          <w:tcPr>
            <w:tcW w:w="762"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80</w:t>
            </w:r>
          </w:p>
        </w:tc>
        <w:tc>
          <w:tcPr>
            <w:tcW w:w="803"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858"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25</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购置设备合格率</w:t>
            </w:r>
          </w:p>
        </w:tc>
        <w:tc>
          <w:tcPr>
            <w:tcW w:w="708"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default" w:ascii="Arial" w:hAnsi="Arial" w:eastAsia="方正仿宋_GBK" w:cs="Arial"/>
                <w:color w:val="000000"/>
                <w:kern w:val="0"/>
                <w:sz w:val="24"/>
                <w:szCs w:val="24"/>
              </w:rPr>
              <w:t>≥</w:t>
            </w:r>
          </w:p>
        </w:tc>
        <w:tc>
          <w:tcPr>
            <w:tcW w:w="762"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03"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858"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资金到位率</w:t>
            </w:r>
          </w:p>
        </w:tc>
        <w:tc>
          <w:tcPr>
            <w:tcW w:w="708"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default" w:ascii="Arial" w:hAnsi="Arial" w:eastAsia="方正仿宋_GBK" w:cs="Arial"/>
                <w:color w:val="000000"/>
                <w:kern w:val="0"/>
                <w:sz w:val="24"/>
                <w:szCs w:val="24"/>
              </w:rPr>
              <w:t>≥</w:t>
            </w:r>
          </w:p>
        </w:tc>
        <w:tc>
          <w:tcPr>
            <w:tcW w:w="762"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03"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858"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物资无损耗，合格率100%</w:t>
            </w:r>
          </w:p>
        </w:tc>
      </w:tr>
    </w:tbl>
    <w:p>
      <w:pPr>
        <w:pStyle w:val="12"/>
        <w:tabs>
          <w:tab w:val="center" w:pos="4153"/>
          <w:tab w:val="left" w:pos="7275"/>
        </w:tabs>
        <w:spacing w:line="600" w:lineRule="exact"/>
        <w:ind w:left="0" w:leftChars="0" w:firstLine="640" w:firstLineChars="200"/>
        <w:rPr>
          <w:rFonts w:hint="eastAsia" w:ascii="Times New Roman" w:hAnsi="Times New Roman" w:eastAsia="方正仿宋_GBK" w:cs="宋体"/>
          <w:kern w:val="0"/>
          <w:sz w:val="32"/>
          <w:szCs w:val="32"/>
        </w:rPr>
      </w:pPr>
      <w:r>
        <w:rPr>
          <w:rFonts w:hint="eastAsia" w:ascii="Times New Roman" w:hAnsi="Times New Roman" w:eastAsia="方正仿宋_GBK" w:cs="宋体"/>
          <w:b w:val="0"/>
          <w:bCs/>
          <w:kern w:val="0"/>
          <w:sz w:val="32"/>
          <w:szCs w:val="32"/>
        </w:rPr>
        <w:t>2.绩效自评报告</w:t>
      </w:r>
      <w:r>
        <w:rPr>
          <w:rFonts w:ascii="Times New Roman" w:hAnsi="Times New Roman" w:eastAsia="方正仿宋_GBK" w:cs="宋体"/>
          <w:b w:val="0"/>
          <w:bCs/>
          <w:kern w:val="0"/>
          <w:sz w:val="32"/>
          <w:szCs w:val="32"/>
        </w:rPr>
        <w:t>或案例</w:t>
      </w:r>
    </w:p>
    <w:p>
      <w:pPr>
        <w:pStyle w:val="12"/>
        <w:tabs>
          <w:tab w:val="center" w:pos="4153"/>
          <w:tab w:val="left" w:pos="7275"/>
        </w:tabs>
        <w:spacing w:line="600" w:lineRule="exact"/>
        <w:ind w:firstLine="640"/>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lang w:val="en-US" w:eastAsia="zh-CN"/>
        </w:rPr>
        <w:t>本单位无此事项。</w:t>
      </w:r>
    </w:p>
    <w:p>
      <w:pPr>
        <w:pStyle w:val="12"/>
        <w:tabs>
          <w:tab w:val="center" w:pos="4153"/>
          <w:tab w:val="left" w:pos="7275"/>
        </w:tabs>
        <w:spacing w:line="600" w:lineRule="exact"/>
        <w:ind w:firstLine="640"/>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3.关于绩效自评结果的说明</w:t>
      </w:r>
    </w:p>
    <w:p>
      <w:pPr>
        <w:pStyle w:val="12"/>
        <w:tabs>
          <w:tab w:val="center" w:pos="4153"/>
          <w:tab w:val="left" w:pos="7275"/>
        </w:tabs>
        <w:spacing w:line="600" w:lineRule="exact"/>
        <w:ind w:firstLine="640"/>
        <w:rPr>
          <w:rFonts w:hint="default" w:ascii="Times New Roman" w:hAnsi="Times New Roman" w:eastAsia="方正仿宋_GBK" w:cs="宋体"/>
          <w:kern w:val="0"/>
          <w:sz w:val="32"/>
          <w:szCs w:val="32"/>
          <w:lang w:val="en-US" w:eastAsia="zh-CN"/>
        </w:rPr>
      </w:pPr>
      <w:r>
        <w:rPr>
          <w:rFonts w:hint="eastAsia" w:ascii="Times New Roman" w:hAnsi="Times New Roman" w:eastAsia="方正仿宋_GBK" w:cs="宋体"/>
          <w:kern w:val="0"/>
          <w:sz w:val="32"/>
          <w:szCs w:val="32"/>
          <w:lang w:val="en-US" w:eastAsia="zh-CN"/>
        </w:rPr>
        <w:t>自评项目已完成年度绩效目标。</w:t>
      </w:r>
    </w:p>
    <w:p>
      <w:pPr>
        <w:pStyle w:val="12"/>
        <w:tabs>
          <w:tab w:val="center" w:pos="4153"/>
          <w:tab w:val="left" w:pos="7275"/>
        </w:tabs>
        <w:spacing w:line="600" w:lineRule="exact"/>
        <w:ind w:firstLine="640"/>
        <w:rPr>
          <w:rFonts w:hint="eastAsia" w:ascii="Times New Roman" w:hAnsi="Times New Roman" w:eastAsia="方正楷体_GBK"/>
          <w:color w:val="333333"/>
          <w:sz w:val="32"/>
          <w:szCs w:val="32"/>
        </w:rPr>
      </w:pPr>
      <w:r>
        <w:rPr>
          <w:rFonts w:hint="eastAsia" w:ascii="Times New Roman" w:hAnsi="Times New Roman" w:eastAsia="方正楷体_GBK"/>
          <w:color w:val="333333"/>
          <w:sz w:val="32"/>
          <w:szCs w:val="32"/>
        </w:rPr>
        <w:t>（三）重点绩效评价结果</w:t>
      </w:r>
    </w:p>
    <w:p>
      <w:pPr>
        <w:pStyle w:val="12"/>
        <w:tabs>
          <w:tab w:val="center" w:pos="4153"/>
          <w:tab w:val="left" w:pos="7275"/>
        </w:tabs>
        <w:spacing w:line="600" w:lineRule="exact"/>
        <w:ind w:firstLine="640"/>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lang w:val="en-US" w:eastAsia="zh-CN"/>
        </w:rPr>
        <w:t>本单位无此事项。</w:t>
      </w:r>
    </w:p>
    <w:p>
      <w:pPr>
        <w:pStyle w:val="12"/>
        <w:tabs>
          <w:tab w:val="center" w:pos="4153"/>
          <w:tab w:val="left" w:pos="7275"/>
        </w:tabs>
        <w:spacing w:line="60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（一）财政拨款收入：</w:t>
      </w:r>
      <w:r>
        <w:rPr>
          <w:rFonts w:hint="eastAsia" w:ascii="Times New Roman" w:hAnsi="Times New Roman" w:eastAsia="方正仿宋_GBK" w:cs="宋体"/>
          <w:color w:val="000000"/>
          <w:kern w:val="0"/>
          <w:sz w:val="32"/>
          <w:szCs w:val="32"/>
        </w:rPr>
        <w:t>指本年度从本级财政部门取得的财政拨款，包括一般公共预算财政拨款和政府性基金预算财政拨款。</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（二）用事业基金弥补收支差额：</w:t>
      </w:r>
      <w:r>
        <w:rPr>
          <w:rFonts w:hint="eastAsia" w:ascii="Times New Roman" w:hAnsi="Times New Roman" w:eastAsia="方正仿宋_GBK" w:cs="宋体"/>
          <w:color w:val="000000"/>
          <w:kern w:val="0"/>
          <w:sz w:val="32"/>
          <w:szCs w:val="32"/>
        </w:rPr>
        <w:t>指</w:t>
      </w:r>
      <w:r>
        <w:rPr>
          <w:rFonts w:hint="eastAsia" w:ascii="Times New Roman" w:hAnsi="Times New Roman" w:eastAsia="方正仿宋_GBK" w:cs="宋体"/>
          <w:color w:val="000000"/>
          <w:kern w:val="0"/>
          <w:sz w:val="32"/>
          <w:szCs w:val="32"/>
        </w:rPr>
        <w:t>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2"/>
        <w:tabs>
          <w:tab w:val="center" w:pos="4153"/>
          <w:tab w:val="left" w:pos="7275"/>
        </w:tabs>
        <w:spacing w:line="600" w:lineRule="exact"/>
        <w:ind w:left="0" w:leftChars="0" w:firstLine="643" w:firstLineChars="200"/>
        <w:rPr>
          <w:rFonts w:hint="eastAsia" w:ascii="方正仿宋_GBK" w:hAnsi="宋体" w:eastAsia="方正仿宋_GBK"/>
          <w:b/>
          <w:bCs/>
          <w:color w:val="000000"/>
          <w:sz w:val="32"/>
          <w:szCs w:val="32"/>
        </w:rPr>
      </w:pPr>
      <w:r>
        <w:rPr>
          <w:rFonts w:hint="eastAsia" w:ascii="方正仿宋_GBK" w:hAnsi="宋体" w:eastAsia="方正仿宋_GBK"/>
          <w:b/>
          <w:bCs/>
          <w:color w:val="000000"/>
          <w:sz w:val="32"/>
          <w:szCs w:val="32"/>
        </w:rPr>
        <w:t>（三）年初结转和结余：</w:t>
      </w:r>
      <w:r>
        <w:rPr>
          <w:rFonts w:hint="eastAsia" w:ascii="Times New Roman" w:hAnsi="Times New Roman" w:eastAsia="方正仿宋_GBK" w:cs="宋体"/>
          <w:color w:val="000000"/>
          <w:kern w:val="0"/>
          <w:sz w:val="32"/>
          <w:szCs w:val="32"/>
        </w:rPr>
        <w:t>指单位上年结转本年使用的基本支出结转、项目支出结转和结余、经营结余。不包括事业单位净资产项下的事业基金和专用基金。</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（四）结余分配：</w:t>
      </w:r>
      <w:r>
        <w:rPr>
          <w:rFonts w:hint="eastAsia" w:ascii="Times New Roman" w:hAnsi="Times New Roman" w:eastAsia="方正仿宋_GBK" w:cs="宋体"/>
          <w:color w:val="000000"/>
          <w:kern w:val="0"/>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（五）年末结转和结余：</w:t>
      </w:r>
      <w:r>
        <w:rPr>
          <w:rFonts w:hint="eastAsia" w:ascii="Times New Roman" w:hAnsi="Times New Roman" w:eastAsia="方正仿宋_GBK" w:cs="宋体"/>
          <w:color w:val="000000"/>
          <w:kern w:val="0"/>
          <w:sz w:val="32"/>
          <w:szCs w:val="32"/>
        </w:rPr>
        <w:t>指单位结转下年的基本支出结转、项目支出结转和结余、经营结余。不包括事业单位净资产项下的事业基金和专用基金。</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（六）基本支出：</w:t>
      </w:r>
      <w:r>
        <w:rPr>
          <w:rFonts w:hint="eastAsia" w:ascii="Times New Roman" w:hAnsi="Times New Roman" w:eastAsia="方正仿宋_GBK" w:cs="宋体"/>
          <w:color w:val="000000"/>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tabs>
          <w:tab w:val="center" w:pos="4153"/>
          <w:tab w:val="left" w:pos="7275"/>
        </w:tabs>
        <w:spacing w:line="600" w:lineRule="exact"/>
        <w:ind w:left="0" w:leftChars="0" w:firstLine="643" w:firstLineChars="200"/>
        <w:rPr>
          <w:rFonts w:hint="eastAsia" w:ascii="方正仿宋_GBK" w:hAnsi="宋体" w:eastAsia="方正仿宋_GBK"/>
          <w:b/>
          <w:bCs/>
          <w:color w:val="000000"/>
          <w:sz w:val="32"/>
          <w:szCs w:val="32"/>
        </w:rPr>
      </w:pPr>
      <w:r>
        <w:rPr>
          <w:rFonts w:hint="eastAsia" w:ascii="方正仿宋_GBK" w:hAnsi="宋体" w:eastAsia="方正仿宋_GBK"/>
          <w:b/>
          <w:bCs/>
          <w:color w:val="000000"/>
          <w:sz w:val="32"/>
          <w:szCs w:val="32"/>
        </w:rPr>
        <w:t>（七）项目支出：</w:t>
      </w:r>
      <w:r>
        <w:rPr>
          <w:rFonts w:hint="eastAsia" w:ascii="Times New Roman" w:hAnsi="Times New Roman" w:eastAsia="方正仿宋_GBK" w:cs="宋体"/>
          <w:color w:val="000000"/>
          <w:kern w:val="0"/>
          <w:sz w:val="32"/>
          <w:szCs w:val="32"/>
        </w:rPr>
        <w:t>指在基本支出之外为完成特定行政任务和事业发展目标所发生的支出。</w:t>
      </w:r>
    </w:p>
    <w:p>
      <w:pPr>
        <w:pStyle w:val="12"/>
        <w:tabs>
          <w:tab w:val="center" w:pos="4153"/>
          <w:tab w:val="left" w:pos="7275"/>
        </w:tabs>
        <w:spacing w:line="600" w:lineRule="exact"/>
        <w:ind w:left="0" w:leftChars="0" w:firstLine="643" w:firstLineChars="200"/>
        <w:rPr>
          <w:rFonts w:hint="eastAsia" w:ascii="方正仿宋_GBK" w:hAnsi="宋体" w:eastAsia="方正仿宋_GBK"/>
          <w:b/>
          <w:bCs/>
          <w:color w:val="000000"/>
          <w:sz w:val="32"/>
          <w:szCs w:val="32"/>
        </w:rPr>
      </w:pPr>
      <w:r>
        <w:rPr>
          <w:rFonts w:hint="eastAsia" w:ascii="方正仿宋_GBK" w:hAnsi="宋体" w:eastAsia="方正仿宋_GBK"/>
          <w:b/>
          <w:bCs/>
          <w:color w:val="000000"/>
          <w:sz w:val="32"/>
          <w:szCs w:val="32"/>
        </w:rPr>
        <w:t>（八）经营支出：</w:t>
      </w:r>
      <w:r>
        <w:rPr>
          <w:rFonts w:hint="eastAsia" w:ascii="Times New Roman" w:hAnsi="Times New Roman" w:eastAsia="方正仿宋_GBK" w:cs="宋体"/>
          <w:color w:val="000000"/>
          <w:kern w:val="0"/>
          <w:sz w:val="32"/>
          <w:szCs w:val="32"/>
        </w:rPr>
        <w:t>指事业单位在专业业务活动及其辅助活动之外开展非独立核算经营活动发生的支出。</w:t>
      </w:r>
    </w:p>
    <w:p>
      <w:pPr>
        <w:pStyle w:val="12"/>
        <w:tabs>
          <w:tab w:val="center" w:pos="4153"/>
          <w:tab w:val="left" w:pos="7275"/>
        </w:tabs>
        <w:spacing w:line="600" w:lineRule="exact"/>
        <w:ind w:left="0" w:leftChars="0" w:firstLine="643" w:firstLineChars="200"/>
        <w:rPr>
          <w:rFonts w:hint="eastAsia" w:ascii="方正仿宋_GBK" w:hAnsi="宋体" w:eastAsia="方正仿宋_GBK"/>
          <w:b/>
          <w:bCs/>
          <w:color w:val="000000"/>
          <w:sz w:val="32"/>
          <w:szCs w:val="32"/>
        </w:rPr>
      </w:pPr>
      <w:r>
        <w:rPr>
          <w:rFonts w:hint="eastAsia" w:ascii="方正仿宋_GBK" w:hAnsi="宋体" w:eastAsia="方正仿宋_GBK"/>
          <w:b/>
          <w:bCs/>
          <w:color w:val="000000"/>
          <w:sz w:val="32"/>
          <w:szCs w:val="32"/>
        </w:rPr>
        <w:t>（九）“三公”经费：</w:t>
      </w:r>
      <w:r>
        <w:rPr>
          <w:rFonts w:hint="eastAsia" w:ascii="Times New Roman" w:hAnsi="Times New Roman" w:eastAsia="方正仿宋_GBK" w:cs="宋体"/>
          <w:color w:val="000000"/>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（十）机关运行经费：</w:t>
      </w:r>
      <w:r>
        <w:rPr>
          <w:rFonts w:hint="eastAsia" w:ascii="Times New Roman" w:hAnsi="Times New Roman" w:eastAsia="方正仿宋_GBK" w:cs="宋体"/>
          <w:color w:val="000000"/>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（十一）工资福利支出（支出经济分类科目类级）：</w:t>
      </w:r>
      <w:r>
        <w:rPr>
          <w:rFonts w:hint="eastAsia" w:ascii="Times New Roman" w:hAnsi="Times New Roman" w:eastAsia="方正仿宋_GBK" w:cs="宋体"/>
          <w:color w:val="000000"/>
          <w:kern w:val="0"/>
          <w:sz w:val="32"/>
          <w:szCs w:val="32"/>
        </w:rPr>
        <w:t>反映单位开支的在职职工和编制外长期聘用人员的各类劳动报酬，以及为上述人员缴纳的各项社会保险费等。</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（十二）商品和服务支出（支出经济分类科目类级）：</w:t>
      </w:r>
      <w:r>
        <w:rPr>
          <w:rFonts w:hint="eastAsia" w:ascii="Times New Roman" w:hAnsi="Times New Roman" w:eastAsia="方正仿宋_GBK" w:cs="宋体"/>
          <w:color w:val="000000"/>
          <w:kern w:val="0"/>
          <w:sz w:val="32"/>
          <w:szCs w:val="32"/>
        </w:rPr>
        <w:t>反映单位购买商品和服务的支出（不包括用于购置固定资产的支出、战略性和应急储备支出）。</w:t>
      </w:r>
    </w:p>
    <w:p>
      <w:pPr>
        <w:pStyle w:val="12"/>
        <w:tabs>
          <w:tab w:val="center" w:pos="4153"/>
          <w:tab w:val="left" w:pos="7275"/>
        </w:tabs>
        <w:spacing w:line="600" w:lineRule="exact"/>
        <w:ind w:left="0" w:leftChars="0" w:firstLine="643" w:firstLineChars="200"/>
        <w:rPr>
          <w:rFonts w:hint="eastAsia" w:ascii="方正仿宋_GBK" w:hAnsi="宋体" w:eastAsia="方正仿宋_GBK"/>
          <w:b/>
          <w:bCs/>
          <w:color w:val="000000"/>
          <w:sz w:val="32"/>
          <w:szCs w:val="32"/>
        </w:rPr>
      </w:pPr>
      <w:r>
        <w:rPr>
          <w:rFonts w:hint="eastAsia" w:ascii="方正仿宋_GBK" w:hAnsi="宋体" w:eastAsia="方正仿宋_GBK"/>
          <w:b/>
          <w:bCs/>
          <w:color w:val="000000"/>
          <w:sz w:val="32"/>
          <w:szCs w:val="32"/>
        </w:rPr>
        <w:t>（十三）对个人和家庭的补助（支出经济分类科目类级）：</w:t>
      </w:r>
      <w:r>
        <w:rPr>
          <w:rFonts w:hint="eastAsia" w:ascii="Times New Roman" w:hAnsi="Times New Roman" w:eastAsia="方正仿宋_GBK" w:cs="宋体"/>
          <w:color w:val="000000"/>
          <w:kern w:val="0"/>
          <w:sz w:val="32"/>
          <w:szCs w:val="32"/>
        </w:rPr>
        <w:t>反映用于对个人和家庭的补助支出。</w:t>
      </w:r>
    </w:p>
    <w:p>
      <w:pPr>
        <w:pStyle w:val="12"/>
        <w:tabs>
          <w:tab w:val="center" w:pos="4153"/>
          <w:tab w:val="left" w:pos="7275"/>
        </w:tabs>
        <w:spacing w:line="600" w:lineRule="exact"/>
        <w:ind w:left="0" w:leftChars="0" w:firstLine="643" w:firstLineChars="200"/>
        <w:rPr>
          <w:rFonts w:hint="eastAsia" w:ascii="Times New Roman" w:hAnsi="Times New Roman" w:eastAsia="方正仿宋_GBK" w:cs="宋体"/>
          <w:color w:val="000000"/>
          <w:kern w:val="0"/>
          <w:sz w:val="32"/>
          <w:szCs w:val="32"/>
        </w:rPr>
      </w:pPr>
      <w:r>
        <w:rPr>
          <w:rFonts w:hint="eastAsia" w:ascii="方正仿宋_GBK" w:hAnsi="宋体" w:eastAsia="方正仿宋_GBK"/>
          <w:b/>
          <w:bCs/>
          <w:color w:val="000000"/>
          <w:sz w:val="32"/>
          <w:szCs w:val="32"/>
        </w:rPr>
        <w:t>（十四）其他资本性支出（支出经济分类科目类级）：</w:t>
      </w:r>
      <w:r>
        <w:rPr>
          <w:rFonts w:hint="eastAsia" w:ascii="Times New Roman" w:hAnsi="Times New Roman" w:eastAsia="方正仿宋_GBK" w:cs="宋体"/>
          <w:color w:val="000000"/>
          <w:kern w:val="0"/>
          <w:sz w:val="32"/>
          <w:szCs w:val="32"/>
        </w:rPr>
        <w:t>反映非各级发展与改革部门集中安排的用于购置固定资产、战略性和应急性储备、土地和无形资产，以及构建基础设施、大型修缮和财政支持企业更新改造所发生的支出。七、决算公开联系方式</w:t>
      </w:r>
    </w:p>
    <w:p>
      <w:pPr>
        <w:pStyle w:val="12"/>
        <w:tabs>
          <w:tab w:val="center" w:pos="4153"/>
          <w:tab w:val="left" w:pos="7275"/>
        </w:tabs>
        <w:spacing w:line="600" w:lineRule="exact"/>
        <w:ind w:firstLine="640"/>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w:t>
      </w:r>
    </w:p>
    <w:p>
      <w:pPr>
        <w:pStyle w:val="12"/>
        <w:tabs>
          <w:tab w:val="center" w:pos="4153"/>
          <w:tab w:val="left" w:pos="7275"/>
        </w:tabs>
        <w:spacing w:line="600" w:lineRule="exact"/>
        <w:ind w:firstLine="640"/>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本单位决算公开信息反馈和联系方式：023-47535011</w:t>
      </w:r>
      <w:bookmarkStart w:id="0" w:name="_GoBack"/>
      <w:bookmarkEnd w:id="0"/>
    </w:p>
    <w:p>
      <w:pPr>
        <w:pStyle w:val="12"/>
        <w:tabs>
          <w:tab w:val="center" w:pos="4153"/>
          <w:tab w:val="left" w:pos="7275"/>
        </w:tabs>
        <w:spacing w:line="600" w:lineRule="exact"/>
        <w:ind w:firstLine="640"/>
        <w:rPr>
          <w:rFonts w:hint="default" w:ascii="Times New Roman" w:hAnsi="Times New Roman" w:eastAsia="方正仿宋_GBK"/>
          <w:color w:val="auto"/>
          <w:sz w:val="32"/>
          <w:szCs w:val="32"/>
          <w:lang w:val="en-US" w:eastAsia="zh-CN"/>
        </w:rPr>
      </w:pPr>
    </w:p>
    <w:sectPr>
      <w:footerReference r:id="rId3" w:type="default"/>
      <w:footerReference r:id="rId4" w:type="even"/>
      <w:pgSz w:w="11906" w:h="16838"/>
      <w:pgMar w:top="1058" w:right="1531" w:bottom="540" w:left="1531"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4FE7"/>
    <w:multiLevelType w:val="singleLevel"/>
    <w:tmpl w:val="EC854FE7"/>
    <w:lvl w:ilvl="0" w:tentative="0">
      <w:start w:val="2"/>
      <w:numFmt w:val="chineseCounting"/>
      <w:suff w:val="nothing"/>
      <w:lvlText w:val="%1、"/>
      <w:lvlJc w:val="left"/>
      <w:rPr>
        <w:rFonts w:hint="eastAsia"/>
      </w:rPr>
    </w:lvl>
  </w:abstractNum>
  <w:abstractNum w:abstractNumId="1">
    <w:nsid w:val="0C72D9CB"/>
    <w:multiLevelType w:val="singleLevel"/>
    <w:tmpl w:val="0C72D9CB"/>
    <w:lvl w:ilvl="0" w:tentative="0">
      <w:start w:val="1"/>
      <w:numFmt w:val="chineseCounting"/>
      <w:suff w:val="nothing"/>
      <w:lvlText w:val="（%1）"/>
      <w:lvlJc w:val="left"/>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jZjZjBlNzBhZjEwZTgzNTFlMGU2N2NkNDQwYWYifQ=="/>
  </w:docVars>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3155C"/>
    <w:rsid w:val="02AC542A"/>
    <w:rsid w:val="03343D40"/>
    <w:rsid w:val="03D862B6"/>
    <w:rsid w:val="03FB4D0B"/>
    <w:rsid w:val="045B484E"/>
    <w:rsid w:val="047841EE"/>
    <w:rsid w:val="04AD2B7D"/>
    <w:rsid w:val="04E841EF"/>
    <w:rsid w:val="052E6699"/>
    <w:rsid w:val="057728DC"/>
    <w:rsid w:val="05C1448E"/>
    <w:rsid w:val="05C1761D"/>
    <w:rsid w:val="07640956"/>
    <w:rsid w:val="07A34544"/>
    <w:rsid w:val="0818406B"/>
    <w:rsid w:val="08C7668D"/>
    <w:rsid w:val="09327D67"/>
    <w:rsid w:val="09823D8A"/>
    <w:rsid w:val="09C9617E"/>
    <w:rsid w:val="0A2D21B2"/>
    <w:rsid w:val="0AB177F2"/>
    <w:rsid w:val="0AB319EF"/>
    <w:rsid w:val="0B6B4922"/>
    <w:rsid w:val="0B840250"/>
    <w:rsid w:val="0B9909E3"/>
    <w:rsid w:val="0BBB1C03"/>
    <w:rsid w:val="0BC63C92"/>
    <w:rsid w:val="0BCF17F7"/>
    <w:rsid w:val="0C1A7343"/>
    <w:rsid w:val="0C3C56A3"/>
    <w:rsid w:val="0C8D0553"/>
    <w:rsid w:val="0C994F52"/>
    <w:rsid w:val="0D4A231C"/>
    <w:rsid w:val="0DBA0DC1"/>
    <w:rsid w:val="0EA66A76"/>
    <w:rsid w:val="0EB15612"/>
    <w:rsid w:val="0F1669F0"/>
    <w:rsid w:val="0F5D6174"/>
    <w:rsid w:val="0F931176"/>
    <w:rsid w:val="1016071E"/>
    <w:rsid w:val="10325A41"/>
    <w:rsid w:val="12C42FA0"/>
    <w:rsid w:val="12D35C61"/>
    <w:rsid w:val="12E0359D"/>
    <w:rsid w:val="12EA2F1A"/>
    <w:rsid w:val="13424E21"/>
    <w:rsid w:val="140E2407"/>
    <w:rsid w:val="14C17B48"/>
    <w:rsid w:val="14CF3275"/>
    <w:rsid w:val="14FD41CB"/>
    <w:rsid w:val="15546C2C"/>
    <w:rsid w:val="15930A04"/>
    <w:rsid w:val="160D5A33"/>
    <w:rsid w:val="164E5E0B"/>
    <w:rsid w:val="17932EDC"/>
    <w:rsid w:val="17A36DDB"/>
    <w:rsid w:val="180B07AE"/>
    <w:rsid w:val="181A2360"/>
    <w:rsid w:val="181F4708"/>
    <w:rsid w:val="184F1121"/>
    <w:rsid w:val="18C66253"/>
    <w:rsid w:val="19801636"/>
    <w:rsid w:val="1A297DDD"/>
    <w:rsid w:val="1A7919B9"/>
    <w:rsid w:val="1A81091F"/>
    <w:rsid w:val="1B1350D9"/>
    <w:rsid w:val="1B9A7C0E"/>
    <w:rsid w:val="1B9B203B"/>
    <w:rsid w:val="1BFD1CC9"/>
    <w:rsid w:val="1C96385A"/>
    <w:rsid w:val="1D437979"/>
    <w:rsid w:val="1D4708B1"/>
    <w:rsid w:val="1D601184"/>
    <w:rsid w:val="1D656164"/>
    <w:rsid w:val="1EF96BEA"/>
    <w:rsid w:val="1F1C3B7B"/>
    <w:rsid w:val="1FC425AA"/>
    <w:rsid w:val="205932DE"/>
    <w:rsid w:val="20BC5FF2"/>
    <w:rsid w:val="219D4F8D"/>
    <w:rsid w:val="22435D4E"/>
    <w:rsid w:val="237704D4"/>
    <w:rsid w:val="23891077"/>
    <w:rsid w:val="23BE50B1"/>
    <w:rsid w:val="2422161E"/>
    <w:rsid w:val="246E6851"/>
    <w:rsid w:val="24954F65"/>
    <w:rsid w:val="257F04AC"/>
    <w:rsid w:val="25E53B95"/>
    <w:rsid w:val="25FF1317"/>
    <w:rsid w:val="26487E8F"/>
    <w:rsid w:val="269A59A1"/>
    <w:rsid w:val="26D96305"/>
    <w:rsid w:val="2797346E"/>
    <w:rsid w:val="27CC625C"/>
    <w:rsid w:val="27FF1758"/>
    <w:rsid w:val="287F60B2"/>
    <w:rsid w:val="29696297"/>
    <w:rsid w:val="297011FE"/>
    <w:rsid w:val="2A481CFC"/>
    <w:rsid w:val="2AE168E0"/>
    <w:rsid w:val="2B762790"/>
    <w:rsid w:val="2BAC2B14"/>
    <w:rsid w:val="2BC73FBA"/>
    <w:rsid w:val="2C0042E3"/>
    <w:rsid w:val="2C0D59AC"/>
    <w:rsid w:val="2C334F61"/>
    <w:rsid w:val="2C3D20DB"/>
    <w:rsid w:val="2C715093"/>
    <w:rsid w:val="2DDB0952"/>
    <w:rsid w:val="2E0221C2"/>
    <w:rsid w:val="2EC6420A"/>
    <w:rsid w:val="2EF3059D"/>
    <w:rsid w:val="2F1C3DF2"/>
    <w:rsid w:val="2FA6445E"/>
    <w:rsid w:val="2FAC25DB"/>
    <w:rsid w:val="30450B4E"/>
    <w:rsid w:val="31A70211"/>
    <w:rsid w:val="3256082B"/>
    <w:rsid w:val="327D7E69"/>
    <w:rsid w:val="32826152"/>
    <w:rsid w:val="32EC51EE"/>
    <w:rsid w:val="33664FA1"/>
    <w:rsid w:val="33782EB9"/>
    <w:rsid w:val="34F5635F"/>
    <w:rsid w:val="35521A2B"/>
    <w:rsid w:val="355E472E"/>
    <w:rsid w:val="35C22B6B"/>
    <w:rsid w:val="35EA737B"/>
    <w:rsid w:val="36706ADF"/>
    <w:rsid w:val="36A129F2"/>
    <w:rsid w:val="36D22597"/>
    <w:rsid w:val="371719A6"/>
    <w:rsid w:val="377F4FDD"/>
    <w:rsid w:val="37C77C1E"/>
    <w:rsid w:val="388010B8"/>
    <w:rsid w:val="390E5CB1"/>
    <w:rsid w:val="39474657"/>
    <w:rsid w:val="394E2214"/>
    <w:rsid w:val="399A1E48"/>
    <w:rsid w:val="39A10C32"/>
    <w:rsid w:val="3A457B72"/>
    <w:rsid w:val="3A4A2286"/>
    <w:rsid w:val="3AA6726B"/>
    <w:rsid w:val="3AF062AC"/>
    <w:rsid w:val="3B017FBE"/>
    <w:rsid w:val="3B307A72"/>
    <w:rsid w:val="3BB24F73"/>
    <w:rsid w:val="3BCD490E"/>
    <w:rsid w:val="3BDB6726"/>
    <w:rsid w:val="3C056780"/>
    <w:rsid w:val="3C1860E9"/>
    <w:rsid w:val="3C265FAB"/>
    <w:rsid w:val="3D8F779B"/>
    <w:rsid w:val="3E15702B"/>
    <w:rsid w:val="3E247857"/>
    <w:rsid w:val="3EBE7C37"/>
    <w:rsid w:val="3F5E6431"/>
    <w:rsid w:val="3F8C0907"/>
    <w:rsid w:val="400454FD"/>
    <w:rsid w:val="4057229F"/>
    <w:rsid w:val="410115DD"/>
    <w:rsid w:val="41A01FC6"/>
    <w:rsid w:val="41A212A1"/>
    <w:rsid w:val="4239228E"/>
    <w:rsid w:val="42E44C98"/>
    <w:rsid w:val="431B6113"/>
    <w:rsid w:val="438834DF"/>
    <w:rsid w:val="444C66C3"/>
    <w:rsid w:val="44630F9F"/>
    <w:rsid w:val="458B573C"/>
    <w:rsid w:val="45CE60A3"/>
    <w:rsid w:val="461C57E1"/>
    <w:rsid w:val="465B2718"/>
    <w:rsid w:val="46BE763A"/>
    <w:rsid w:val="46C178CC"/>
    <w:rsid w:val="4723739A"/>
    <w:rsid w:val="47250EF5"/>
    <w:rsid w:val="47444DE3"/>
    <w:rsid w:val="48206AB3"/>
    <w:rsid w:val="487415C1"/>
    <w:rsid w:val="48813383"/>
    <w:rsid w:val="48C3403D"/>
    <w:rsid w:val="497E4D40"/>
    <w:rsid w:val="49887CED"/>
    <w:rsid w:val="498D6EB3"/>
    <w:rsid w:val="49A14844"/>
    <w:rsid w:val="4A38329E"/>
    <w:rsid w:val="4A914BA1"/>
    <w:rsid w:val="4B05514E"/>
    <w:rsid w:val="4BA739F3"/>
    <w:rsid w:val="4BB048A4"/>
    <w:rsid w:val="4BCB2F27"/>
    <w:rsid w:val="4BF4339D"/>
    <w:rsid w:val="4CA010BB"/>
    <w:rsid w:val="4CBA3F1B"/>
    <w:rsid w:val="4CC1550E"/>
    <w:rsid w:val="4D0A37F3"/>
    <w:rsid w:val="4D380018"/>
    <w:rsid w:val="4D585803"/>
    <w:rsid w:val="4E2D0EEC"/>
    <w:rsid w:val="4E4C4964"/>
    <w:rsid w:val="4E5F365E"/>
    <w:rsid w:val="4E91728C"/>
    <w:rsid w:val="4FCC0BAF"/>
    <w:rsid w:val="50644F35"/>
    <w:rsid w:val="50C63B0F"/>
    <w:rsid w:val="51011AC0"/>
    <w:rsid w:val="51D53FD0"/>
    <w:rsid w:val="527F0375"/>
    <w:rsid w:val="52E5462F"/>
    <w:rsid w:val="53030193"/>
    <w:rsid w:val="5338243A"/>
    <w:rsid w:val="53BD0CC2"/>
    <w:rsid w:val="53E84DC7"/>
    <w:rsid w:val="543B42DA"/>
    <w:rsid w:val="54481E7C"/>
    <w:rsid w:val="54EF1C22"/>
    <w:rsid w:val="54F43EB0"/>
    <w:rsid w:val="55025399"/>
    <w:rsid w:val="55631682"/>
    <w:rsid w:val="55BC0A87"/>
    <w:rsid w:val="55C44EE3"/>
    <w:rsid w:val="55CD6DBF"/>
    <w:rsid w:val="560E70A6"/>
    <w:rsid w:val="564C33E3"/>
    <w:rsid w:val="565A5E3A"/>
    <w:rsid w:val="576B630C"/>
    <w:rsid w:val="57D91382"/>
    <w:rsid w:val="584101D8"/>
    <w:rsid w:val="584366A5"/>
    <w:rsid w:val="58464AEC"/>
    <w:rsid w:val="59171D29"/>
    <w:rsid w:val="5963595B"/>
    <w:rsid w:val="59C1394B"/>
    <w:rsid w:val="59DD0252"/>
    <w:rsid w:val="59E4333B"/>
    <w:rsid w:val="5A327175"/>
    <w:rsid w:val="5AA95942"/>
    <w:rsid w:val="5B9A1A90"/>
    <w:rsid w:val="5BEA616D"/>
    <w:rsid w:val="5C620610"/>
    <w:rsid w:val="5C7C27CC"/>
    <w:rsid w:val="5D784DB7"/>
    <w:rsid w:val="5D804113"/>
    <w:rsid w:val="5D86298B"/>
    <w:rsid w:val="5E01598A"/>
    <w:rsid w:val="5F7C1524"/>
    <w:rsid w:val="6081723E"/>
    <w:rsid w:val="60C34F31"/>
    <w:rsid w:val="61B07674"/>
    <w:rsid w:val="61D16983"/>
    <w:rsid w:val="631549F9"/>
    <w:rsid w:val="654A3BA1"/>
    <w:rsid w:val="65727ED4"/>
    <w:rsid w:val="658D11B9"/>
    <w:rsid w:val="66471D7C"/>
    <w:rsid w:val="667D6EFB"/>
    <w:rsid w:val="66FD7813"/>
    <w:rsid w:val="67825ED9"/>
    <w:rsid w:val="67B37940"/>
    <w:rsid w:val="68A245E2"/>
    <w:rsid w:val="68B0544A"/>
    <w:rsid w:val="690F3CAF"/>
    <w:rsid w:val="6A0C28CE"/>
    <w:rsid w:val="6A650A4D"/>
    <w:rsid w:val="6D8C5247"/>
    <w:rsid w:val="6E904287"/>
    <w:rsid w:val="6EA83056"/>
    <w:rsid w:val="6EBE51FD"/>
    <w:rsid w:val="6F2540A9"/>
    <w:rsid w:val="700F5C73"/>
    <w:rsid w:val="70817FC6"/>
    <w:rsid w:val="70C87CAA"/>
    <w:rsid w:val="71723BF8"/>
    <w:rsid w:val="723D7934"/>
    <w:rsid w:val="725259FC"/>
    <w:rsid w:val="727266B8"/>
    <w:rsid w:val="72804A5F"/>
    <w:rsid w:val="72C81D24"/>
    <w:rsid w:val="73510736"/>
    <w:rsid w:val="73772C48"/>
    <w:rsid w:val="742519C6"/>
    <w:rsid w:val="74557B08"/>
    <w:rsid w:val="745909D3"/>
    <w:rsid w:val="757027FD"/>
    <w:rsid w:val="764C7835"/>
    <w:rsid w:val="76606237"/>
    <w:rsid w:val="76BC0040"/>
    <w:rsid w:val="76E97240"/>
    <w:rsid w:val="77547F95"/>
    <w:rsid w:val="77F53FBA"/>
    <w:rsid w:val="77FE3901"/>
    <w:rsid w:val="78B86F01"/>
    <w:rsid w:val="79383F91"/>
    <w:rsid w:val="79800339"/>
    <w:rsid w:val="7A3031E0"/>
    <w:rsid w:val="7A640644"/>
    <w:rsid w:val="7AB07AB2"/>
    <w:rsid w:val="7B84301F"/>
    <w:rsid w:val="7C6E6F9B"/>
    <w:rsid w:val="7C724B1A"/>
    <w:rsid w:val="7D6C2781"/>
    <w:rsid w:val="7DE6477E"/>
    <w:rsid w:val="7E265B35"/>
    <w:rsid w:val="7E395726"/>
    <w:rsid w:val="7E836D97"/>
    <w:rsid w:val="7E8E73EF"/>
    <w:rsid w:val="7EF23A73"/>
    <w:rsid w:val="7F7D47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8"/>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semiHidden/>
    <w:qFormat/>
    <w:uiPriority w:val="99"/>
    <w:rPr>
      <w:kern w:val="2"/>
      <w:sz w:val="18"/>
      <w:szCs w:val="18"/>
    </w:rPr>
  </w:style>
  <w:style w:type="character" w:customStyle="1" w:styleId="9">
    <w:name w:val="页脚 字符"/>
    <w:link w:val="4"/>
    <w:qFormat/>
    <w:uiPriority w:val="99"/>
    <w:rPr>
      <w:sz w:val="18"/>
      <w:szCs w:val="18"/>
    </w:rPr>
  </w:style>
  <w:style w:type="character" w:customStyle="1" w:styleId="10">
    <w:name w:val="页眉 字符"/>
    <w:link w:val="5"/>
    <w:qFormat/>
    <w:uiPriority w:val="99"/>
    <w:rPr>
      <w:sz w:val="18"/>
      <w:szCs w:val="18"/>
    </w:rPr>
  </w:style>
  <w:style w:type="character" w:customStyle="1" w:styleId="11">
    <w:name w:val="页脚 Char"/>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4003</Words>
  <Characters>4434</Characters>
  <Lines>16</Lines>
  <Paragraphs>4</Paragraphs>
  <TotalTime>3</TotalTime>
  <ScaleCrop>false</ScaleCrop>
  <LinksUpToDate>false</LinksUpToDate>
  <CharactersWithSpaces>4540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2021-07-06T06:32:00Z</dcterms:created>
  <dc:creator>微软用户</dc:creator>
  <cp:lastModifiedBy>王璇</cp:lastModifiedBy>
  <cp:lastPrinted>2023-08-10T01:16:00Z</cp:lastPrinted>
  <dcterms:modified xsi:type="dcterms:W3CDTF">2023-08-23T07:57:57Z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B2CCB9D628EE4326A5639F8E0FC1819C_13</vt:lpwstr>
  </property>
</Properties>
</file>