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5" w:lineRule="auto"/>
      </w:pPr>
    </w:p>
    <w:p>
      <w:pPr>
        <w:pStyle w:val="3"/>
        <w:bidi w:val="0"/>
      </w:pPr>
      <w:r>
        <w:t>四川省泸州市经济和信息化局</w:t>
      </w:r>
    </w:p>
    <w:p>
      <w:pPr>
        <w:pStyle w:val="3"/>
        <w:bidi w:val="0"/>
      </w:pPr>
      <w:r>
        <w:t>重庆市江津区经济和信息化委员会</w:t>
      </w:r>
    </w:p>
    <w:p>
      <w:pPr>
        <w:pStyle w:val="3"/>
        <w:bidi w:val="0"/>
      </w:pPr>
      <w:r>
        <w:t>重庆市永川区经济和信息化委员会</w:t>
      </w:r>
    </w:p>
    <w:p>
      <w:pPr>
        <w:pStyle w:val="3"/>
        <w:bidi w:val="0"/>
      </w:pPr>
      <w:r>
        <w:t>关于举办2024“泸永江”工业设计创新大赛的 通  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center"/>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5"/>
          <w:sz w:val="32"/>
          <w:szCs w:val="32"/>
        </w:rPr>
        <w:t>泸经信服务〔2024〕264号</w:t>
      </w:r>
    </w:p>
    <w:p>
      <w:pPr>
        <w:pStyle w:val="4"/>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各有关单位，有关企业：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根据《成渝地区双城经济圈建设规划纲要》总体要求，立足打造“泸永江”产业融合发展示范区，推动工业设计赋能制造业高质量发展和技术改造项目前期生成研判，提升重点产业工业设计和技术改造创新能力，使工业设计、技术创新成为先进制造业、现代服务业“两业融合”的重要联通基础。四川省泸州市、重庆市江津区、重庆市永川区决定联合举办2024“泸永江”工业设计创新大赛。现将相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both"/>
        <w:textAlignment w:val="auto"/>
        <w:rPr>
          <w:rFonts w:ascii="黑体" w:hAnsi="黑体" w:eastAsia="黑体" w:cs="黑体"/>
          <w:sz w:val="32"/>
          <w:szCs w:val="32"/>
        </w:rPr>
      </w:pPr>
      <w:r>
        <w:rPr>
          <w:rStyle w:val="10"/>
          <w:rFonts w:hint="eastAsia" w:ascii="Times New Roman" w:hAnsi="Times New Roman" w:eastAsia="方正仿宋_GBK" w:cs="方正仿宋_GBK"/>
          <w:snapToGrid/>
          <w:color w:val="auto"/>
          <w:sz w:val="32"/>
          <w:szCs w:val="32"/>
          <w:u w:val="none"/>
          <w:shd w:val="clear" w:color="auto" w:fill="FFFFFF"/>
          <w:lang w:eastAsia="zh-CN"/>
        </w:rPr>
        <w:tab/>
      </w:r>
      <w:r>
        <w:rPr>
          <w:rFonts w:ascii="黑体" w:hAnsi="黑体" w:eastAsia="黑体" w:cs="黑体"/>
          <w:b/>
          <w:bCs/>
          <w:spacing w:val="-20"/>
          <w:sz w:val="32"/>
          <w:szCs w:val="32"/>
        </w:rPr>
        <w:t>一、活动名称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2024“泸永江”工业设计创新大赛</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7" w:firstLineChars="200"/>
        <w:jc w:val="both"/>
        <w:textAlignment w:val="baseline"/>
        <w:outlineLvl w:val="0"/>
        <w:rPr>
          <w:rFonts w:ascii="黑体" w:hAnsi="黑体" w:eastAsia="黑体" w:cs="黑体"/>
          <w:sz w:val="32"/>
          <w:szCs w:val="32"/>
        </w:rPr>
      </w:pPr>
      <w:r>
        <w:rPr>
          <w:rFonts w:ascii="黑体" w:hAnsi="黑体" w:eastAsia="黑体" w:cs="黑体"/>
          <w:b/>
          <w:bCs/>
          <w:spacing w:val="-4"/>
          <w:sz w:val="32"/>
          <w:szCs w:val="32"/>
        </w:rPr>
        <w:t>二、大赛主题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工业筑基发展核心，设计赋能新质生产力</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15" w:firstLineChars="200"/>
        <w:jc w:val="both"/>
        <w:textAlignment w:val="baseline"/>
        <w:outlineLvl w:val="3"/>
        <w:rPr>
          <w:rFonts w:ascii="黑体" w:hAnsi="黑体" w:eastAsia="黑体" w:cs="黑体"/>
          <w:sz w:val="32"/>
          <w:szCs w:val="32"/>
        </w:rPr>
      </w:pPr>
      <w:r>
        <w:rPr>
          <w:rFonts w:ascii="黑体" w:hAnsi="黑体" w:eastAsia="黑体" w:cs="黑体"/>
          <w:b/>
          <w:bCs/>
          <w:spacing w:val="-7"/>
          <w:sz w:val="32"/>
          <w:szCs w:val="32"/>
        </w:rPr>
        <w:t>三、组织机构</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03" w:firstLineChars="200"/>
        <w:jc w:val="both"/>
        <w:textAlignment w:val="baseline"/>
        <w:outlineLvl w:val="3"/>
        <w:rPr>
          <w:rFonts w:ascii="楷体" w:hAnsi="楷体" w:eastAsia="楷体" w:cs="楷体"/>
          <w:sz w:val="32"/>
          <w:szCs w:val="32"/>
        </w:rPr>
      </w:pPr>
      <w:r>
        <w:rPr>
          <w:rFonts w:ascii="楷体" w:hAnsi="楷体" w:eastAsia="楷体" w:cs="楷体"/>
          <w:b/>
          <w:bCs/>
          <w:spacing w:val="15"/>
          <w:sz w:val="32"/>
          <w:szCs w:val="32"/>
        </w:rPr>
        <w:t>(一)主办单位。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四川省泸州市人民政府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重庆市江津区人民政府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重庆市永川区人民政府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95" w:firstLineChars="200"/>
        <w:jc w:val="both"/>
        <w:textAlignment w:val="baseline"/>
        <w:outlineLvl w:val="0"/>
        <w:rPr>
          <w:rFonts w:ascii="楷体" w:hAnsi="楷体" w:eastAsia="楷体" w:cs="楷体"/>
          <w:sz w:val="32"/>
          <w:szCs w:val="32"/>
        </w:rPr>
      </w:pPr>
      <w:r>
        <w:rPr>
          <w:rFonts w:ascii="楷体" w:hAnsi="楷体" w:eastAsia="楷体" w:cs="楷体"/>
          <w:b/>
          <w:bCs/>
          <w:spacing w:val="13"/>
          <w:sz w:val="32"/>
          <w:szCs w:val="32"/>
        </w:rPr>
        <w:t>(二)承办单位。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四川省泸州市经济和信息化局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重庆市江津区经济和信息化委员会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重庆市永川区经济和信息化委员会</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07" w:firstLineChars="200"/>
        <w:jc w:val="both"/>
        <w:textAlignment w:val="baseline"/>
        <w:outlineLvl w:val="0"/>
        <w:rPr>
          <w:rFonts w:ascii="黑体" w:hAnsi="黑体" w:eastAsia="黑体" w:cs="黑体"/>
          <w:sz w:val="32"/>
          <w:szCs w:val="32"/>
        </w:rPr>
      </w:pPr>
      <w:r>
        <w:rPr>
          <w:rFonts w:ascii="黑体" w:hAnsi="黑体" w:eastAsia="黑体" w:cs="黑体"/>
          <w:b/>
          <w:bCs/>
          <w:spacing w:val="-9"/>
          <w:sz w:val="32"/>
          <w:szCs w:val="32"/>
        </w:rPr>
        <w:t>四、实施机制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一)组委会。成立2024年“泸永江”工业设计创新大赛组委会(以下简称组委会),由大赛主办单位和相关部门组成，负责大赛活动的整体安排与组织管理。组委会下设办公室，负责大赛活动的整体安排与组织管理，对活动重大事项进行决策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(二)评审委员会。在组委会领导下，成立大赛评审委员会，负责大赛评审工作。大赛评审委员会成员由工业设计领域专家组成。</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7" w:firstLineChars="200"/>
        <w:jc w:val="both"/>
        <w:textAlignment w:val="baseline"/>
        <w:outlineLvl w:val="0"/>
        <w:rPr>
          <w:rFonts w:ascii="黑体" w:hAnsi="黑体" w:eastAsia="黑体" w:cs="黑体"/>
          <w:sz w:val="32"/>
          <w:szCs w:val="32"/>
        </w:rPr>
      </w:pPr>
      <w:r>
        <w:rPr>
          <w:rFonts w:ascii="黑体" w:hAnsi="黑体" w:eastAsia="黑体" w:cs="黑体"/>
          <w:b/>
          <w:bCs/>
          <w:spacing w:val="6"/>
          <w:sz w:val="32"/>
          <w:szCs w:val="32"/>
        </w:rPr>
        <w:t>五、参赛对象及奖项设置</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91" w:firstLineChars="200"/>
        <w:jc w:val="both"/>
        <w:textAlignment w:val="baseline"/>
        <w:outlineLvl w:val="0"/>
        <w:rPr>
          <w:rFonts w:ascii="楷体" w:hAnsi="楷体" w:eastAsia="楷体" w:cs="楷体"/>
          <w:sz w:val="32"/>
          <w:szCs w:val="32"/>
        </w:rPr>
      </w:pPr>
      <w:r>
        <w:rPr>
          <w:rFonts w:ascii="楷体" w:hAnsi="楷体" w:eastAsia="楷体" w:cs="楷体"/>
          <w:b/>
          <w:bCs/>
          <w:spacing w:val="12"/>
          <w:sz w:val="32"/>
          <w:szCs w:val="32"/>
        </w:rPr>
        <w:t>(一)参赛对象。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1.此次大赛的参赛对象为四川省泸州市、重庆市江津区、重庆市永川区三个地区下辖行政范围内注册并纳税的企业，鼓励国内外设计机构及院校与当地企业联合参赛。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2.参赛范围：高端装备、交通工具、智能机器人、通用机械、建工机械、农业机械、家居、食品、包装、文创、电子产品、运动休闲用品、健康监护、数字创意、新兴智能及高端制造等重点行业。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3.类别设置。本次大赛作品征集分为产品、概念两大类别，分别评奖。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(1)产品类：参赛作品为2022年1月1日后量产上市且未参与过本赛事的产品。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(2)概念类：未上市且未参与过本赛事的概念设计，以图文方式体现的创意设计。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15" w:firstLineChars="200"/>
        <w:jc w:val="both"/>
        <w:textAlignment w:val="baseline"/>
        <w:outlineLvl w:val="0"/>
        <w:rPr>
          <w:rFonts w:ascii="楷体" w:hAnsi="楷体" w:eastAsia="楷体" w:cs="楷体"/>
          <w:sz w:val="32"/>
          <w:szCs w:val="32"/>
        </w:rPr>
      </w:pPr>
      <w:r>
        <w:rPr>
          <w:rFonts w:ascii="楷体" w:hAnsi="楷体" w:eastAsia="楷体" w:cs="楷体"/>
          <w:b/>
          <w:bCs/>
          <w:spacing w:val="18"/>
          <w:sz w:val="32"/>
          <w:szCs w:val="32"/>
        </w:rPr>
        <w:t>(二)奖项设置。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334"/>
        </w:tabs>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大赛设置一、二、三等奖。</w:t>
      </w:r>
      <w:r>
        <w:rPr>
          <w:rStyle w:val="10"/>
          <w:rFonts w:hint="eastAsia" w:ascii="Times New Roman" w:hAnsi="Times New Roman" w:eastAsia="方正仿宋_GBK" w:cs="方正仿宋_GBK"/>
          <w:snapToGrid/>
          <w:color w:val="auto"/>
          <w:sz w:val="32"/>
          <w:szCs w:val="32"/>
          <w:u w:val="none"/>
          <w:shd w:val="clear" w:color="auto" w:fill="FFFFFF"/>
          <w:lang w:eastAsia="zh-CN"/>
        </w:rPr>
        <w:tab/>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334"/>
        </w:tabs>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(1)产品类：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一等奖3名，奖金3万元/名，颁发证书；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二等奖6名，奖金2万元/名，颁发证书；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三等奖12名，奖金1万元/名，颁发证书；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(2)概念类：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一等奖3名，奖金2万元/名，颁发证书；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二等奖6名，奖金1万元/名，颁发证书；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三等奖12名，奖金5000元/名，颁发证书。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3" w:firstLineChars="200"/>
        <w:jc w:val="both"/>
        <w:textAlignment w:val="baseline"/>
        <w:outlineLvl w:val="3"/>
        <w:rPr>
          <w:rFonts w:ascii="黑体" w:hAnsi="黑体" w:eastAsia="黑体" w:cs="黑体"/>
          <w:sz w:val="32"/>
          <w:szCs w:val="32"/>
        </w:rPr>
      </w:pPr>
      <w:r>
        <w:rPr>
          <w:rFonts w:ascii="黑体" w:hAnsi="黑体" w:eastAsia="黑体" w:cs="黑体"/>
          <w:b/>
          <w:bCs/>
          <w:sz w:val="32"/>
          <w:szCs w:val="32"/>
        </w:rPr>
        <w:t>六、参赛要求</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07" w:firstLineChars="200"/>
        <w:jc w:val="both"/>
        <w:textAlignment w:val="baseline"/>
        <w:outlineLvl w:val="3"/>
        <w:rPr>
          <w:rFonts w:ascii="楷体" w:hAnsi="楷体" w:eastAsia="楷体" w:cs="楷体"/>
          <w:sz w:val="32"/>
          <w:szCs w:val="32"/>
        </w:rPr>
      </w:pPr>
      <w:r>
        <w:rPr>
          <w:rFonts w:ascii="楷体" w:hAnsi="楷体" w:eastAsia="楷体" w:cs="楷体"/>
          <w:b/>
          <w:bCs/>
          <w:spacing w:val="16"/>
          <w:sz w:val="32"/>
          <w:szCs w:val="32"/>
        </w:rPr>
        <w:t>(一)参赛程序。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大赛采取线上报名方式征集作品，参赛单位填写报名表后将电子报名表及报名表签章扫描件与作品文件压缩打包后，上传至指定邮箱，同一参赛单位可以提交多件作品。</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35" w:firstLineChars="200"/>
        <w:jc w:val="both"/>
        <w:textAlignment w:val="baseline"/>
        <w:outlineLvl w:val="0"/>
        <w:rPr>
          <w:rFonts w:ascii="楷体" w:hAnsi="楷体" w:eastAsia="楷体" w:cs="楷体"/>
          <w:sz w:val="32"/>
          <w:szCs w:val="32"/>
        </w:rPr>
      </w:pPr>
      <w:r>
        <w:rPr>
          <w:rFonts w:ascii="楷体" w:hAnsi="楷体" w:eastAsia="楷体" w:cs="楷体"/>
          <w:b/>
          <w:bCs/>
          <w:spacing w:val="23"/>
          <w:sz w:val="32"/>
          <w:szCs w:val="32"/>
        </w:rPr>
        <w:t>(二)报名邮箱。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重庆市江津区指定邮箱：jiangjindesign@126.com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重庆市永川区指定邮箱：yongchuandesign@126.com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四川省泸州市指定邮箱：luzhoudesign@126.com</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35" w:firstLineChars="200"/>
        <w:jc w:val="both"/>
        <w:textAlignment w:val="baseline"/>
        <w:outlineLvl w:val="0"/>
        <w:rPr>
          <w:rFonts w:ascii="楷体" w:hAnsi="楷体" w:eastAsia="楷体" w:cs="楷体"/>
          <w:sz w:val="32"/>
          <w:szCs w:val="32"/>
        </w:rPr>
      </w:pPr>
      <w:r>
        <w:rPr>
          <w:rFonts w:ascii="楷体" w:hAnsi="楷体" w:eastAsia="楷体" w:cs="楷体"/>
          <w:b/>
          <w:bCs/>
          <w:spacing w:val="23"/>
          <w:sz w:val="32"/>
          <w:szCs w:val="32"/>
        </w:rPr>
        <w:t>(三)时间安排。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作品征集截止日期：2024年11月30日。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35" w:firstLineChars="200"/>
        <w:jc w:val="both"/>
        <w:textAlignment w:val="baseline"/>
        <w:outlineLvl w:val="0"/>
        <w:rPr>
          <w:rFonts w:ascii="楷体" w:hAnsi="楷体" w:eastAsia="楷体" w:cs="楷体"/>
          <w:sz w:val="32"/>
          <w:szCs w:val="32"/>
        </w:rPr>
      </w:pPr>
      <w:r>
        <w:rPr>
          <w:rFonts w:ascii="楷体" w:hAnsi="楷体" w:eastAsia="楷体" w:cs="楷体"/>
          <w:b/>
          <w:bCs/>
          <w:spacing w:val="23"/>
          <w:sz w:val="32"/>
          <w:szCs w:val="32"/>
        </w:rPr>
        <w:t>(四)评审原则。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大赛分为初评和终评。评审坚持设计创新引领，突出新技术、新材料应用以及数字化、智能化创新、产业融合、成果转化，探索创立“成果”为导向，强调设计专业性，包含美学、功能、结构、交互、工艺、通用性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1.产品类：从产品质量、工艺、材料运用、环保性、功能性、实用性、安全性，以及包装形象、产品识别、品牌塑造等维度对产品进行综合评审。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2.概念类：从作品的需求分析、概念方向、功能应用、外观形态等创新因素，以及低碳环保、安全和可实现性等方面对设计作品进行评审。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35" w:firstLineChars="200"/>
        <w:jc w:val="both"/>
        <w:textAlignment w:val="baseline"/>
        <w:outlineLvl w:val="3"/>
        <w:rPr>
          <w:rFonts w:ascii="楷体" w:hAnsi="楷体" w:eastAsia="楷体" w:cs="楷体"/>
          <w:b/>
          <w:bCs/>
          <w:spacing w:val="23"/>
          <w:sz w:val="32"/>
          <w:szCs w:val="32"/>
        </w:rPr>
      </w:pPr>
      <w:r>
        <w:rPr>
          <w:rFonts w:ascii="楷体" w:hAnsi="楷体" w:eastAsia="楷体" w:cs="楷体"/>
          <w:b/>
          <w:bCs/>
          <w:spacing w:val="23"/>
          <w:sz w:val="32"/>
          <w:szCs w:val="32"/>
        </w:rPr>
        <w:t>(五)作品要求。</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7" w:firstLineChars="200"/>
        <w:jc w:val="both"/>
        <w:textAlignment w:val="baseline"/>
        <w:outlineLvl w:val="3"/>
        <w:rPr>
          <w:rFonts w:ascii="仿宋" w:hAnsi="仿宋" w:eastAsia="仿宋" w:cs="仿宋"/>
          <w:sz w:val="32"/>
          <w:szCs w:val="32"/>
        </w:rPr>
      </w:pPr>
      <w:r>
        <w:rPr>
          <w:rFonts w:ascii="仿宋" w:hAnsi="仿宋" w:eastAsia="仿宋" w:cs="仿宋"/>
          <w:b/>
          <w:bCs/>
          <w:spacing w:val="-4"/>
          <w:sz w:val="32"/>
          <w:szCs w:val="32"/>
        </w:rPr>
        <w:t>1.产品类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(1)参赛作品需提交3幅以内产品图片，(精度150DPI展板形式的电子文件，JPG格式，)。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(2)产品文字介绍1份，PPT或PDF说明文件(PPT尺寸为16:9,大小不超过50MB,PDF文件大小不超过20MB)。可从设计主题、设计构思、工艺说明等角度详细阐述，页面中所有文字为中文，文字清晰可读，并标注页码和总页数。</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3" w:firstLineChars="200"/>
        <w:jc w:val="both"/>
        <w:textAlignment w:val="baseline"/>
        <w:outlineLvl w:val="0"/>
        <w:rPr>
          <w:rFonts w:ascii="仿宋" w:hAnsi="仿宋" w:eastAsia="仿宋" w:cs="仿宋"/>
          <w:sz w:val="32"/>
          <w:szCs w:val="32"/>
        </w:rPr>
      </w:pPr>
      <w:r>
        <w:rPr>
          <w:rFonts w:ascii="仿宋" w:hAnsi="仿宋" w:eastAsia="仿宋" w:cs="仿宋"/>
          <w:b/>
          <w:bCs/>
          <w:spacing w:val="-5"/>
          <w:sz w:val="32"/>
          <w:szCs w:val="32"/>
        </w:rPr>
        <w:t>2.概念类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创意概念阐述报告(使用PPT或PDF格式，PPT尺寸为16:9,大小不超过50MB,PDF文件大小不超过20MB,其中含效果图不少于3幅)。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sectPr>
          <w:footerReference r:id="rId5" w:type="default"/>
          <w:pgSz w:w="11910" w:h="16840"/>
          <w:pgMar w:top="1431" w:right="1786" w:bottom="2890" w:left="1786" w:header="0" w:footer="2634" w:gutter="0"/>
          <w:pgNumType w:fmt="decimal"/>
          <w:cols w:space="720" w:num="1"/>
        </w:sectPr>
      </w:pPr>
      <w:r>
        <w:rPr>
          <w:rStyle w:val="10"/>
          <w:rFonts w:hint="eastAsia" w:ascii="Times New Roman" w:hAnsi="Times New Roman" w:eastAsia="方正仿宋_GBK" w:cs="方正仿宋_GBK"/>
          <w:snapToGrid/>
          <w:color w:val="auto"/>
          <w:sz w:val="32"/>
          <w:szCs w:val="32"/>
          <w:u w:val="none"/>
          <w:shd w:val="clear" w:color="auto" w:fill="FFFFFF"/>
          <w:lang w:eastAsia="zh-CN"/>
        </w:rPr>
        <w:t>提交图片和文字叙述将成为评审和展览的一项重要依据。</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35" w:firstLineChars="200"/>
        <w:jc w:val="both"/>
        <w:textAlignment w:val="baseline"/>
        <w:outlineLvl w:val="0"/>
        <w:rPr>
          <w:rFonts w:ascii="黑体" w:hAnsi="黑体" w:eastAsia="黑体" w:cs="黑体"/>
          <w:sz w:val="32"/>
          <w:szCs w:val="32"/>
        </w:rPr>
      </w:pPr>
      <w:r>
        <w:rPr>
          <w:rFonts w:ascii="黑体" w:hAnsi="黑体" w:eastAsia="黑体" w:cs="黑体"/>
          <w:b/>
          <w:bCs/>
          <w:spacing w:val="-2"/>
          <w:sz w:val="32"/>
          <w:szCs w:val="32"/>
        </w:rPr>
        <w:t>七、活动免责条款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一)参赛者须是参赛作品的设计方或所属方(相关知识产权的权利方),参赛作品与他人没有任何知识产权纠纷(迄今未发生或已妥善处理知识产权纠纷)。对存在知识产权纠纷的作品，组委会有权撤销该作品的参赛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二)如获奖作品存在知识产权瑕疵或争议的，组委会有权撤销获奖资格，召回奖状、奖杯等荣誉，追回奖金。如因参赛作品存在知识产权瑕疵或争议造成主办方、承办方等单位经济、名誉方面损失，主办方、承办方等有权要求相应参赛者赔偿，赔偿范围包括但不限于经济损失、名誉损失、诉讼费、律师费、保全费、鉴定费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三)所有参赛作品的知识产权归作者所有，大赛组委会对大赛的参赛作品享有推介、展示、出版(包括复制、发行)及产业化推广、宣传等权利。对获奖作品，大赛组委会享有进行收藏、组织成果转化和产品交易等权利。未经作者授权，任何单位、个人和第三方不得将本次大赛的作品进行再设计、生产、销售、宣传、出版、展览及其他形式的推广、宣传等，否则作者有追究法律责任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lang w:eastAsia="zh-CN"/>
        </w:rPr>
      </w:pPr>
      <w:r>
        <w:rPr>
          <w:rStyle w:val="10"/>
          <w:rFonts w:hint="eastAsia" w:ascii="Times New Roman" w:hAnsi="Times New Roman" w:eastAsia="方正仿宋_GBK" w:cs="方正仿宋_GBK"/>
          <w:snapToGrid/>
          <w:color w:val="auto"/>
          <w:sz w:val="32"/>
          <w:szCs w:val="32"/>
          <w:u w:val="none"/>
          <w:shd w:val="clear" w:color="auto" w:fill="FFFFFF"/>
          <w:lang w:eastAsia="zh-CN"/>
        </w:rPr>
        <w:t>(四)寄送参赛作品所产生的运输、保险、关税等所有费用均由参赛者承担。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lang w:eastAsia="zh-CN"/>
        </w:rPr>
        <w:t>(五)参与作品展示，参赛者须自行将作品安装调试至可使用状态。若需委托组委会代为安装调试的，须提供详细安装视频或说明。</w:t>
      </w:r>
      <w:bookmarkStart w:id="0" w:name="_GoBack"/>
      <w:bookmarkEnd w:id="0"/>
      <w:r>
        <w:rPr>
          <w:rStyle w:val="10"/>
          <w:rFonts w:hint="eastAsia" w:ascii="Times New Roman" w:hAnsi="Times New Roman" w:eastAsia="方正仿宋_GBK" w:cs="方正仿宋_GBK"/>
          <w:snapToGrid/>
          <w:color w:val="auto"/>
          <w:sz w:val="32"/>
          <w:szCs w:val="32"/>
          <w:u w:val="none"/>
          <w:shd w:val="clear" w:color="auto" w:fill="FFFFFF"/>
        </w:rPr>
        <w:t>(六)本赛事活动有关条款由组委会办公室负责解释。</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1" w:firstLineChars="200"/>
        <w:jc w:val="both"/>
        <w:textAlignment w:val="baseline"/>
        <w:outlineLvl w:val="1"/>
        <w:rPr>
          <w:rFonts w:ascii="黑体" w:hAnsi="黑体" w:eastAsia="黑体" w:cs="黑体"/>
          <w:sz w:val="32"/>
          <w:szCs w:val="32"/>
        </w:rPr>
      </w:pPr>
      <w:r>
        <w:rPr>
          <w:rFonts w:ascii="黑体" w:hAnsi="黑体" w:eastAsia="黑体" w:cs="黑体"/>
          <w:b/>
          <w:bCs/>
          <w:spacing w:val="2"/>
          <w:sz w:val="32"/>
          <w:szCs w:val="32"/>
        </w:rPr>
        <w:t>八、联系方式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联系人：泸州市丁老师；联系方式：0830-2652292;江津区李老师，联系电话：023-47525490;永川区赵老师，联系电话：023-49828709。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附件：2024“泸永江”工业设计创新大赛报名表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 xml:space="preserve">四川省泸州市经济和信息化局   </w:t>
      </w:r>
      <w:r>
        <w:rPr>
          <w:rStyle w:val="10"/>
          <w:rFonts w:hint="eastAsia" w:ascii="Times New Roman" w:hAnsi="Times New Roman" w:eastAsia="方正仿宋_GBK" w:cs="方正仿宋_GBK"/>
          <w:snapToGrid/>
          <w:color w:val="auto"/>
          <w:sz w:val="32"/>
          <w:szCs w:val="32"/>
          <w:u w:val="none"/>
          <w:shd w:val="clear" w:color="auto" w:fill="FFFFFF"/>
          <w:lang w:val="en-US" w:eastAsia="zh-CN"/>
        </w:rPr>
        <w:t xml:space="preserve">   </w:t>
      </w:r>
      <w:r>
        <w:rPr>
          <w:rStyle w:val="10"/>
          <w:rFonts w:hint="eastAsia" w:ascii="Times New Roman" w:hAnsi="Times New Roman" w:eastAsia="方正仿宋_GBK" w:cs="方正仿宋_GBK"/>
          <w:snapToGrid/>
          <w:color w:val="auto"/>
          <w:sz w:val="32"/>
          <w:szCs w:val="32"/>
          <w:u w:val="none"/>
          <w:shd w:val="clear" w:color="auto" w:fill="FFFFFF"/>
        </w:rPr>
        <w:t>重庆市江津区经济和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080" w:firstLineChars="19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信息化委员会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3520" w:firstLineChars="11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重庆市永川区经济和信息化委员会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5120" w:firstLineChars="1600"/>
        <w:jc w:val="both"/>
        <w:textAlignment w:val="auto"/>
        <w:rPr>
          <w:rStyle w:val="10"/>
          <w:rFonts w:hint="eastAsia" w:ascii="Times New Roman" w:hAnsi="Times New Roman" w:eastAsia="方正仿宋_GBK" w:cs="方正仿宋_GBK"/>
          <w:snapToGrid/>
          <w:color w:val="auto"/>
          <w:sz w:val="32"/>
          <w:szCs w:val="32"/>
          <w:u w:val="none"/>
          <w:shd w:val="clear" w:color="auto" w:fill="FFFFFF"/>
        </w:rPr>
      </w:pPr>
      <w:r>
        <w:rPr>
          <w:rStyle w:val="10"/>
          <w:rFonts w:hint="eastAsia" w:ascii="Times New Roman" w:hAnsi="Times New Roman" w:eastAsia="方正仿宋_GBK" w:cs="方正仿宋_GBK"/>
          <w:snapToGrid/>
          <w:color w:val="auto"/>
          <w:sz w:val="32"/>
          <w:szCs w:val="32"/>
          <w:u w:val="none"/>
          <w:shd w:val="clear" w:color="auto" w:fill="FFFFFF"/>
        </w:rPr>
        <w:t>2024年10月16日</w:t>
      </w:r>
    </w:p>
    <w:p>
      <w:pPr>
        <w:pStyle w:val="4"/>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sz w:val="32"/>
          <w:szCs w:val="32"/>
        </w:rPr>
      </w:pPr>
      <w:r>
        <w:rPr>
          <w:rFonts w:ascii="方正仿宋_GBK" w:hAnsi="方正仿宋_GBK" w:eastAsia="方正仿宋_GBK" w:cs="方正仿宋_GBK"/>
          <w:i w:val="0"/>
          <w:iCs w:val="0"/>
          <w:caps w:val="0"/>
          <w:spacing w:val="0"/>
          <w:sz w:val="32"/>
          <w:szCs w:val="32"/>
          <w:shd w:val="clear" w:fill="FFFFFF"/>
        </w:rPr>
        <w:t>（此件公开发布）</w:t>
      </w:r>
    </w:p>
    <w:p>
      <w:pPr>
        <w:spacing w:before="150" w:line="230" w:lineRule="auto"/>
        <w:rPr>
          <w:rFonts w:ascii="仿宋" w:hAnsi="仿宋" w:eastAsia="仿宋" w:cs="仿宋"/>
          <w:sz w:val="25"/>
          <w:szCs w:val="25"/>
        </w:rPr>
      </w:pPr>
    </w:p>
    <w:sectPr>
      <w:footerReference r:id="rId6" w:type="default"/>
      <w:pgSz w:w="11910" w:h="16840"/>
      <w:pgMar w:top="1431" w:right="1786" w:bottom="400" w:left="1786"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7F0D2C"/>
    <w:rsid w:val="11673155"/>
    <w:rsid w:val="17E943EF"/>
    <w:rsid w:val="5D1B16EF"/>
    <w:rsid w:val="7878302D"/>
    <w:rsid w:val="AF6CC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widowControl w:val="0"/>
      <w:spacing w:line="594" w:lineRule="exact"/>
      <w:ind w:firstLine="0" w:firstLineChars="0"/>
      <w:jc w:val="center"/>
      <w:outlineLvl w:val="0"/>
    </w:pPr>
    <w:rPr>
      <w:rFonts w:ascii="Times New Roman" w:hAnsi="Times New Roman" w:eastAsia="方正小标宋_GBK"/>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方正仿宋_GBK"/>
      <w:color w:val="000000"/>
      <w:kern w:val="0"/>
      <w:sz w:val="24"/>
      <w:szCs w:val="24"/>
      <w:lang w:val="en-US" w:eastAsia="zh-CN" w:bidi="ar-SA"/>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2347</Words>
  <Characters>2558</Characters>
  <TotalTime>13</TotalTime>
  <ScaleCrop>false</ScaleCrop>
  <LinksUpToDate>false</LinksUpToDate>
  <CharactersWithSpaces>2681</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2024-12-06T16:45:00Z</dcterms:created>
  <dc:creator>Kingsoft-PDF</dc:creator>
  <cp:lastModifiedBy>区经济信息委</cp:lastModifiedBy>
  <dcterms:modified xsi:type="dcterms:W3CDTF">2024-12-06T09:09:04Z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2024-12-06T08:45:14Z</vt:filetime>
  </property>
  <property fmtid="{D5CDD505-2E9C-101B-9397-08002B2CF9AE}" pid="4" name="UsrData">
    <vt:lpwstr>67524918182be6001f7da6d7wl</vt:lpwstr>
  </property>
  <property fmtid="{D5CDD505-2E9C-101B-9397-08002B2CF9AE}" pid="5" name="KSOProductBuildVer">
    <vt:lpwstr>2052-11.8.2.10195</vt:lpwstr>
  </property>
  <property fmtid="{D5CDD505-2E9C-101B-9397-08002B2CF9AE}" pid="6" name="ICV">
    <vt:lpwstr>AC877744CFD34417B77EF320590E063A_13</vt:lpwstr>
  </property>
</Properties>
</file>