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79" w:lineRule="exact"/>
        <w:textAlignment w:val="auto"/>
        <w:rPr>
          <w:rFonts w:hint="eastAsia" w:ascii="宋体" w:hAnsi="宋体" w:eastAsia="方正仿宋_GBK" w:cs="方正仿宋_GBK"/>
          <w:sz w:val="24"/>
          <w:szCs w:val="24"/>
          <w:lang w:val="en-US" w:eastAsia="zh-CN"/>
        </w:rPr>
      </w:pPr>
      <w:r>
        <w:rPr>
          <w:rFonts w:hint="eastAsia" w:ascii="宋体" w:hAnsi="宋体" w:eastAsia="方正仿宋_GBK" w:cs="方正仿宋_GBK"/>
          <w:sz w:val="24"/>
          <w:szCs w:val="24"/>
          <w:lang w:eastAsia="zh-CN"/>
        </w:rPr>
        <w:t>附件</w:t>
      </w:r>
      <w:r>
        <w:rPr>
          <w:rFonts w:hint="eastAsia" w:ascii="宋体" w:hAnsi="宋体" w:eastAsia="方正仿宋_GBK" w:cs="方正仿宋_GBK"/>
          <w:sz w:val="24"/>
          <w:szCs w:val="24"/>
          <w:lang w:val="en-US" w:eastAsia="zh-CN"/>
        </w:rPr>
        <w:t>3：</w:t>
      </w:r>
    </w:p>
    <w:p>
      <w:pPr>
        <w:keepNext w:val="0"/>
        <w:keepLines w:val="0"/>
        <w:pageBreakBefore w:val="0"/>
        <w:kinsoku/>
        <w:wordWrap/>
        <w:overflowPunct/>
        <w:topLinePunct w:val="0"/>
        <w:autoSpaceDN/>
        <w:bidi w:val="0"/>
        <w:snapToGrid/>
        <w:spacing w:line="579" w:lineRule="exact"/>
        <w:textAlignment w:val="auto"/>
        <w:rPr>
          <w:rFonts w:hint="eastAsia" w:ascii="宋体" w:hAnsi="宋体" w:eastAsia="方正仿宋_GBK" w:cs="方正仿宋_GBK"/>
          <w:sz w:val="44"/>
          <w:szCs w:val="44"/>
          <w:lang w:eastAsia="zh-CN"/>
        </w:rPr>
      </w:pPr>
    </w:p>
    <w:p>
      <w:pPr>
        <w:keepNext w:val="0"/>
        <w:keepLines w:val="0"/>
        <w:pageBreakBefore w:val="0"/>
        <w:kinsoku/>
        <w:wordWrap/>
        <w:overflowPunct/>
        <w:topLinePunct w:val="0"/>
        <w:autoSpaceDN/>
        <w:bidi w:val="0"/>
        <w:snapToGrid/>
        <w:spacing w:line="579" w:lineRule="exact"/>
        <w:ind w:firstLine="1100" w:firstLineChars="250"/>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重庆市江津区工业园区发展中心</w:t>
      </w:r>
    </w:p>
    <w:p>
      <w:pPr>
        <w:keepNext w:val="0"/>
        <w:keepLines w:val="0"/>
        <w:pageBreakBefore w:val="0"/>
        <w:kinsoku/>
        <w:wordWrap/>
        <w:overflowPunct/>
        <w:topLinePunct w:val="0"/>
        <w:autoSpaceDN/>
        <w:bidi w:val="0"/>
        <w:snapToGrid/>
        <w:spacing w:line="579" w:lineRule="exact"/>
        <w:ind w:firstLine="1100" w:firstLineChars="250"/>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pPr>
        <w:keepNext w:val="0"/>
        <w:keepLines w:val="0"/>
        <w:pageBreakBefore w:val="0"/>
        <w:kinsoku/>
        <w:wordWrap/>
        <w:overflowPunct/>
        <w:topLinePunct w:val="0"/>
        <w:autoSpaceDN/>
        <w:bidi w:val="0"/>
        <w:snapToGrid/>
        <w:spacing w:line="579" w:lineRule="exact"/>
        <w:ind w:firstLine="640" w:firstLineChars="200"/>
        <w:textAlignment w:val="auto"/>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6"/>
        <w:jc w:val="both"/>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b w:val="0"/>
          <w:bCs w:val="0"/>
          <w:kern w:val="2"/>
          <w:sz w:val="32"/>
          <w:szCs w:val="32"/>
          <w:lang w:val="en-US" w:eastAsia="zh-CN" w:bidi="ar-SA"/>
        </w:rPr>
        <w:t>1.负责联系各工业园区及相关部门。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6"/>
        <w:jc w:val="both"/>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b w:val="0"/>
          <w:bCs w:val="0"/>
          <w:kern w:val="2"/>
          <w:sz w:val="32"/>
          <w:szCs w:val="32"/>
          <w:lang w:val="en-US" w:eastAsia="zh-CN" w:bidi="ar-SA"/>
        </w:rPr>
        <w:t>2.负责园区重大招商引资的协调服务工作。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6"/>
        <w:jc w:val="both"/>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b w:val="0"/>
          <w:bCs w:val="0"/>
          <w:kern w:val="2"/>
          <w:sz w:val="32"/>
          <w:szCs w:val="32"/>
          <w:lang w:val="en-US" w:eastAsia="zh-CN" w:bidi="ar-SA"/>
        </w:rPr>
        <w:t>3.协调处理园区发展中出现的问题。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6"/>
        <w:jc w:val="both"/>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b w:val="0"/>
          <w:bCs w:val="0"/>
          <w:kern w:val="2"/>
          <w:sz w:val="32"/>
          <w:szCs w:val="32"/>
          <w:lang w:val="en-US" w:eastAsia="zh-CN" w:bidi="ar-SA"/>
        </w:rPr>
        <w:t>4.负责园区统计工作和运行分析。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6"/>
        <w:jc w:val="both"/>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b w:val="0"/>
          <w:bCs w:val="0"/>
          <w:kern w:val="2"/>
          <w:sz w:val="32"/>
          <w:szCs w:val="32"/>
          <w:lang w:val="en-US" w:eastAsia="zh-CN" w:bidi="ar-SA"/>
        </w:rPr>
        <w:t>5.负责园区发展的政策研究和开展对外交流活动。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6"/>
        <w:jc w:val="both"/>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b w:val="0"/>
          <w:bCs w:val="0"/>
          <w:kern w:val="2"/>
          <w:sz w:val="32"/>
          <w:szCs w:val="32"/>
          <w:lang w:val="en-US" w:eastAsia="zh-CN" w:bidi="ar-SA"/>
        </w:rPr>
        <w:t>6.完成主管部门交办的其他任务。</w:t>
      </w:r>
    </w:p>
    <w:p>
      <w:pPr>
        <w:keepNext w:val="0"/>
        <w:keepLines w:val="0"/>
        <w:pageBreakBefore w:val="0"/>
        <w:numPr>
          <w:ilvl w:val="0"/>
          <w:numId w:val="1"/>
        </w:numPr>
        <w:kinsoku/>
        <w:wordWrap/>
        <w:overflowPunct/>
        <w:topLinePunct w:val="0"/>
        <w:autoSpaceDN/>
        <w:bidi w:val="0"/>
        <w:snapToGrid/>
        <w:spacing w:line="579" w:lineRule="exact"/>
        <w:ind w:firstLine="640" w:firstLineChars="200"/>
        <w:textAlignment w:val="auto"/>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单位构成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6"/>
        <w:jc w:val="both"/>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b w:val="0"/>
          <w:bCs w:val="0"/>
          <w:kern w:val="2"/>
          <w:sz w:val="32"/>
          <w:szCs w:val="32"/>
          <w:lang w:val="en-US" w:eastAsia="zh-CN" w:bidi="ar-SA"/>
        </w:rPr>
        <w:t>本部门行政设置办公室、发展促进科、综合科。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6"/>
        <w:jc w:val="both"/>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b w:val="0"/>
          <w:bCs w:val="0"/>
          <w:kern w:val="2"/>
          <w:sz w:val="32"/>
          <w:szCs w:val="32"/>
          <w:lang w:val="en-US" w:eastAsia="zh-CN" w:bidi="ar-SA"/>
        </w:rPr>
        <w:t>本部门作为二级预算单位，无下属单位。</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宋体" w:hAnsi="宋体" w:eastAsia="方正仿宋_GBK" w:cs="方正仿宋_GBK"/>
          <w:b w:val="0"/>
          <w:bCs w:val="0"/>
          <w:sz w:val="32"/>
          <w:szCs w:val="32"/>
          <w:lang w:val="en-US" w:eastAsia="zh-CN"/>
        </w:rPr>
        <w:t>2024年度收入总计</w:t>
      </w:r>
      <w:r>
        <w:rPr>
          <w:rFonts w:ascii="方正仿宋_GBK" w:hAnsi="方正仿宋_GBK" w:eastAsia="方正仿宋_GBK" w:cs="方正仿宋_GBK"/>
          <w:sz w:val="32"/>
          <w:szCs w:val="32"/>
          <w:shd w:val="clear" w:color="auto" w:fill="FFFFFF"/>
        </w:rPr>
        <w:t>265.70万元，支出总计</w:t>
      </w:r>
      <w:r>
        <w:rPr>
          <w:rFonts w:ascii="方正仿宋_GBK" w:hAnsi="方正仿宋_GBK" w:eastAsia="方正仿宋_GBK" w:cs="方正仿宋_GBK"/>
          <w:sz w:val="32"/>
          <w:szCs w:val="32"/>
        </w:rPr>
        <w:t>265.70</w:t>
      </w:r>
      <w:r>
        <w:rPr>
          <w:rFonts w:ascii="方正仿宋_GBK" w:hAnsi="方正仿宋_GBK" w:eastAsia="方正仿宋_GBK" w:cs="方正仿宋_GBK"/>
          <w:sz w:val="32"/>
          <w:szCs w:val="32"/>
          <w:shd w:val="clear" w:color="auto" w:fill="FFFFFF"/>
        </w:rPr>
        <w:t>万元。收、支与2023年度相比，减少86.94万元，下降24.65%，主要原因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一是基本支出方面2023年有职工去世，抚恤金预算支出增加；二是项目支出方面，本年度减少了工业发展管理经费预算支出</w:t>
      </w:r>
      <w:r>
        <w:rPr>
          <w:rFonts w:hint="eastAsia" w:ascii="宋体" w:hAnsi="宋体" w:eastAsia="方正仿宋_GBK" w:cs="方正仿宋_GBK"/>
          <w:b w:val="0"/>
          <w:bCs w:val="0"/>
          <w:sz w:val="32"/>
          <w:szCs w:val="32"/>
          <w:lang w:val="en-US" w:eastAsia="zh-CN"/>
        </w:rPr>
        <w:t>。</w:t>
      </w:r>
    </w:p>
    <w:p>
      <w:pPr>
        <w:pStyle w:val="5"/>
        <w:snapToGrid w:val="0"/>
        <w:spacing w:before="0" w:beforeAutospacing="0" w:after="0" w:afterAutospacing="0" w:line="600" w:lineRule="exact"/>
        <w:ind w:firstLine="643" w:firstLineChars="200"/>
        <w:jc w:val="both"/>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w:t>
      </w:r>
      <w:r>
        <w:rPr>
          <w:rFonts w:ascii="方正仿宋_GBK" w:hAnsi="方正仿宋_GBK" w:eastAsia="方正仿宋_GBK" w:cs="方正仿宋_GBK"/>
          <w:sz w:val="32"/>
          <w:szCs w:val="32"/>
          <w:shd w:val="clear" w:color="auto" w:fill="FFFFFF"/>
        </w:rPr>
        <w:t>265.70万元，与2023年度相比，减少86.94万元，下降24.65%，主要原因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一是基本支出方面2023年有职工去世，抚恤金预算增加；二是项目支出方面，本年度减少了工业发展管理经费预算</w:t>
      </w:r>
      <w:r>
        <w:rPr>
          <w:rFonts w:hint="eastAsia" w:ascii="宋体" w:hAnsi="宋体" w:eastAsia="方正仿宋_GBK" w:cs="方正仿宋_GBK"/>
          <w:b w:val="0"/>
          <w:bCs w:val="0"/>
          <w:sz w:val="32"/>
          <w:szCs w:val="32"/>
          <w:lang w:val="en-US" w:eastAsia="zh-CN"/>
        </w:rPr>
        <w:t>。其中：财政拨款收入</w:t>
      </w:r>
      <w:r>
        <w:rPr>
          <w:rFonts w:ascii="方正仿宋_GBK" w:hAnsi="方正仿宋_GBK" w:eastAsia="方正仿宋_GBK" w:cs="方正仿宋_GBK"/>
          <w:sz w:val="32"/>
          <w:szCs w:val="32"/>
        </w:rPr>
        <w:t>265.70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w:t>
      </w:r>
      <w:r>
        <w:rPr>
          <w:rFonts w:ascii="方正仿宋_GBK" w:hAnsi="方正仿宋_GBK" w:eastAsia="方正仿宋_GBK" w:cs="方正仿宋_GBK"/>
          <w:sz w:val="32"/>
          <w:szCs w:val="32"/>
        </w:rPr>
        <w:t>265.70</w:t>
      </w:r>
      <w:r>
        <w:rPr>
          <w:rFonts w:ascii="方正仿宋_GBK" w:hAnsi="方正仿宋_GBK" w:eastAsia="方正仿宋_GBK" w:cs="方正仿宋_GBK"/>
          <w:sz w:val="32"/>
          <w:szCs w:val="32"/>
          <w:shd w:val="clear" w:color="auto" w:fill="FFFFFF"/>
        </w:rPr>
        <w:t>万元，与2023年度相比，减少86.94万元，下降24.65%，主要原因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一是基本支出方面2023年有职工去世，抚恤金支出增加；二是项目支出方面，本年度减少了工业发展管理经费预算支出</w:t>
      </w:r>
      <w:r>
        <w:rPr>
          <w:rFonts w:hint="eastAsia" w:ascii="宋体" w:hAnsi="宋体" w:eastAsia="方正仿宋_GBK" w:cs="方正仿宋_GBK"/>
          <w:sz w:val="32"/>
          <w:lang w:val="en-US" w:eastAsia="zh-CN"/>
        </w:rPr>
        <w:t>。</w:t>
      </w:r>
      <w:r>
        <w:rPr>
          <w:rFonts w:hint="eastAsia" w:ascii="宋体" w:hAnsi="宋体" w:eastAsia="方正仿宋_GBK" w:cs="方正仿宋_GBK"/>
          <w:b w:val="0"/>
          <w:bCs w:val="0"/>
          <w:sz w:val="32"/>
          <w:szCs w:val="32"/>
          <w:lang w:val="en-US" w:eastAsia="zh-CN"/>
        </w:rPr>
        <w:t>其中：基本支出</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264.42</w:t>
      </w:r>
      <w:r>
        <w:rPr>
          <w:rFonts w:ascii="方正仿宋_GBK" w:hAnsi="方正仿宋_GBK" w:eastAsia="方正仿宋_GBK" w:cs="方正仿宋_GBK"/>
          <w:sz w:val="32"/>
          <w:szCs w:val="32"/>
          <w:shd w:val="clear" w:color="auto" w:fill="FFFFFF"/>
        </w:rPr>
        <w:t>万元，占99.52%；项目支出</w:t>
      </w:r>
      <w:r>
        <w:rPr>
          <w:rFonts w:ascii="方正仿宋_GBK" w:hAnsi="方正仿宋_GBK" w:eastAsia="方正仿宋_GBK" w:cs="方正仿宋_GBK"/>
          <w:sz w:val="32"/>
          <w:szCs w:val="32"/>
        </w:rPr>
        <w:t>1.28</w:t>
      </w:r>
      <w:r>
        <w:rPr>
          <w:rFonts w:ascii="方正仿宋_GBK" w:hAnsi="方正仿宋_GBK" w:eastAsia="方正仿宋_GBK" w:cs="方正仿宋_GBK"/>
          <w:sz w:val="32"/>
          <w:szCs w:val="32"/>
          <w:shd w:val="clear" w:color="auto" w:fill="FFFFFF"/>
        </w:rPr>
        <w:t>万元，占0.48%；经营支出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宋体" w:hAnsi="宋体" w:eastAsia="方正仿宋_GBK" w:cs="方正仿宋_GBK"/>
          <w:b w:val="0"/>
          <w:bCs w:val="0"/>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sz w:val="32"/>
          <w:lang w:val="en-US" w:eastAsia="zh-CN"/>
        </w:rPr>
        <w:t>本单位2024年度无年末结转和结余</w:t>
      </w:r>
      <w:r>
        <w:rPr>
          <w:rFonts w:hint="eastAsia" w:ascii="宋体" w:hAnsi="宋体" w:eastAsia="方正仿宋_GBK" w:cs="方正仿宋_GBK"/>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度财政拨款收、支总计265.70万元。与202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年相比，财政拨款收、支总计各减少86.94万元，下降24.65%。主要原因</w:t>
      </w:r>
      <w:r>
        <w:rPr>
          <w:rFonts w:hint="eastAsia" w:ascii="方正仿宋_GBK" w:hAnsi="方正仿宋_GBK" w:eastAsia="方正仿宋_GBK" w:cs="方正仿宋_GBK"/>
          <w:sz w:val="32"/>
          <w:szCs w:val="32"/>
          <w:shd w:val="clear" w:color="auto" w:fill="FFFFFF"/>
          <w:lang w:val="en-US" w:eastAsia="zh-CN"/>
        </w:rPr>
        <w:t>:一是基本支出方面2023年有职工去世，抚恤金预算支出增加；二是项目支出方面，本年度减少了工业发展管理经费预算支出</w:t>
      </w:r>
      <w:r>
        <w:rPr>
          <w:rFonts w:hint="eastAsia" w:ascii="宋体" w:hAnsi="宋体" w:eastAsia="方正仿宋_GBK" w:cs="方正仿宋_GBK"/>
          <w:sz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ascii="方正仿宋_GBK" w:hAnsi="方正仿宋_GBK" w:eastAsia="方正仿宋_GBK" w:cs="方正仿宋_GBK"/>
          <w:sz w:val="32"/>
          <w:szCs w:val="32"/>
        </w:rPr>
        <w:t>265.70</w:t>
      </w:r>
      <w:r>
        <w:rPr>
          <w:rFonts w:ascii="方正仿宋_GBK" w:hAnsi="方正仿宋_GBK" w:eastAsia="方正仿宋_GBK" w:cs="方正仿宋_GBK"/>
          <w:sz w:val="32"/>
          <w:szCs w:val="32"/>
          <w:shd w:val="clear" w:color="auto" w:fill="FFFFFF"/>
        </w:rPr>
        <w:t>万元，与2023年度相比，减少86.94万元，下降24.65%。主要原因</w:t>
      </w:r>
      <w:r>
        <w:rPr>
          <w:rFonts w:hint="eastAsia" w:ascii="方正仿宋_GBK" w:hAnsi="方正仿宋_GBK" w:eastAsia="方正仿宋_GBK" w:cs="方正仿宋_GBK"/>
          <w:sz w:val="32"/>
          <w:szCs w:val="32"/>
          <w:shd w:val="clear" w:color="auto" w:fill="FFFFFF"/>
          <w:lang w:val="en-US" w:eastAsia="zh-CN"/>
        </w:rPr>
        <w:t>:一是基本支出方面2023年有职工去世，抚恤金预算支出增加；二是项目支出方面，本年度减少了工业发展管理经费预算支出</w:t>
      </w:r>
      <w:r>
        <w:rPr>
          <w:rFonts w:hint="eastAsia" w:ascii="宋体" w:hAnsi="宋体" w:eastAsia="方正仿宋_GBK" w:cs="方正仿宋_GBK"/>
          <w:color w:val="auto"/>
          <w:sz w:val="32"/>
          <w:lang w:val="en-US" w:eastAsia="zh-CN"/>
        </w:rPr>
        <w:t>。较年初预算数增加</w:t>
      </w:r>
      <w:r>
        <w:rPr>
          <w:rFonts w:ascii="方正仿宋_GBK" w:hAnsi="方正仿宋_GBK" w:eastAsia="方正仿宋_GBK" w:cs="方正仿宋_GBK"/>
          <w:sz w:val="32"/>
          <w:szCs w:val="32"/>
          <w:shd w:val="clear" w:color="auto" w:fill="FFFFFF"/>
        </w:rPr>
        <w:t>0.29万元，增长0.11%。主要原因是</w:t>
      </w:r>
      <w:r>
        <w:rPr>
          <w:rFonts w:hint="eastAsia" w:ascii="方正仿宋_GBK" w:hAnsi="方正仿宋_GBK" w:eastAsia="方正仿宋_GBK" w:cs="方正仿宋_GBK"/>
          <w:sz w:val="32"/>
          <w:szCs w:val="32"/>
          <w:shd w:val="clear" w:color="auto" w:fill="FFFFFF"/>
          <w:lang w:val="en-US" w:eastAsia="zh-CN"/>
        </w:rPr>
        <w:t>社保基数调标，造成社保基数支出增加</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w:t>
      </w:r>
      <w:r>
        <w:rPr>
          <w:rFonts w:ascii="方正仿宋_GBK" w:hAnsi="方正仿宋_GBK" w:eastAsia="方正仿宋_GBK" w:cs="方正仿宋_GBK"/>
          <w:sz w:val="32"/>
          <w:szCs w:val="32"/>
        </w:rPr>
        <w:t>265.70</w:t>
      </w:r>
      <w:r>
        <w:rPr>
          <w:rFonts w:ascii="方正仿宋_GBK" w:hAnsi="方正仿宋_GBK" w:eastAsia="方正仿宋_GBK" w:cs="方正仿宋_GBK"/>
          <w:sz w:val="32"/>
          <w:szCs w:val="32"/>
          <w:shd w:val="clear" w:color="auto" w:fill="FFFFFF"/>
        </w:rPr>
        <w:t>万元，与2023年度相比，减少86.94万元，下降24.65%。主要原因</w:t>
      </w:r>
      <w:r>
        <w:rPr>
          <w:rFonts w:hint="eastAsia" w:ascii="方正仿宋_GBK" w:hAnsi="方正仿宋_GBK" w:eastAsia="方正仿宋_GBK" w:cs="方正仿宋_GBK"/>
          <w:sz w:val="32"/>
          <w:szCs w:val="32"/>
          <w:shd w:val="clear" w:color="auto" w:fill="FFFFFF"/>
          <w:lang w:val="en-US" w:eastAsia="zh-CN"/>
        </w:rPr>
        <w:t>一是基本支出方面2023年有职工去世，抚恤金预算支出增加；二是项目支出方面，本年度减少了工业发展管理经费预算支出</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较年初预算数增加0.29万元，增长0.11%。主要原因是</w:t>
      </w:r>
      <w:r>
        <w:rPr>
          <w:rFonts w:hint="eastAsia" w:ascii="方正仿宋_GBK" w:hAnsi="方正仿宋_GBK" w:eastAsia="方正仿宋_GBK" w:cs="方正仿宋_GBK"/>
          <w:sz w:val="32"/>
          <w:szCs w:val="32"/>
          <w:shd w:val="clear" w:color="auto" w:fill="FFFFFF"/>
          <w:lang w:val="en-US" w:eastAsia="zh-CN"/>
        </w:rPr>
        <w:t>社保基数调标，造成社保基数支出增加</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万元，与2023年度</w:t>
      </w:r>
      <w:r>
        <w:rPr>
          <w:rFonts w:hint="eastAsia" w:ascii="方正仿宋_GBK" w:hAnsi="方正仿宋_GBK" w:eastAsia="方正仿宋_GBK" w:cs="方正仿宋_GBK"/>
          <w:sz w:val="32"/>
          <w:szCs w:val="32"/>
          <w:shd w:val="clear" w:color="auto" w:fill="FFFFFF"/>
          <w:lang w:val="en-US" w:eastAsia="zh-CN"/>
        </w:rPr>
        <w:t>持平。</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%，较年初预算数减少0.41万元，下降32.54%，主要原因是</w:t>
      </w:r>
      <w:r>
        <w:rPr>
          <w:rFonts w:hint="eastAsia" w:ascii="方正仿宋_GBK" w:hAnsi="方正仿宋_GBK" w:eastAsia="方正仿宋_GBK" w:cs="方正仿宋_GBK"/>
          <w:sz w:val="32"/>
          <w:szCs w:val="32"/>
          <w:shd w:val="clear" w:color="auto" w:fill="FFFFFF"/>
          <w:lang w:val="en-US" w:eastAsia="zh-CN"/>
        </w:rPr>
        <w:t>本年度根据过紧日子文件要求严控培训费支出</w:t>
      </w:r>
      <w:r>
        <w:rPr>
          <w:rFonts w:hint="eastAsia" w:ascii="宋体" w:hAnsi="宋体" w:eastAsia="方正仿宋_GBK" w:cs="方正仿宋_GBK"/>
          <w:color w:val="auto"/>
          <w:sz w:val="32"/>
          <w:lang w:val="en-US" w:eastAsia="zh-CN"/>
        </w:rPr>
        <w:t>。</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32.89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12.38</w:t>
      </w:r>
      <w:r>
        <w:rPr>
          <w:rFonts w:ascii="方正仿宋_GBK" w:hAnsi="方正仿宋_GBK" w:eastAsia="方正仿宋_GBK" w:cs="方正仿宋_GBK"/>
          <w:sz w:val="32"/>
          <w:szCs w:val="32"/>
          <w:shd w:val="clear" w:color="auto" w:fill="FFFFFF"/>
        </w:rPr>
        <w:t>%，较年初预算数增加2.39万元，增长7.84%，主要原因是</w:t>
      </w:r>
      <w:r>
        <w:rPr>
          <w:rFonts w:hint="eastAsia" w:ascii="方正仿宋_GBK" w:hAnsi="方正仿宋_GBK" w:eastAsia="方正仿宋_GBK" w:cs="方正仿宋_GBK"/>
          <w:sz w:val="32"/>
          <w:szCs w:val="32"/>
          <w:shd w:val="clear" w:color="auto" w:fill="FFFFFF"/>
          <w:lang w:val="en-US" w:eastAsia="zh-CN"/>
        </w:rPr>
        <w:t>年底补发2023年退休人员一次性健康修养费</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16.17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6.09</w:t>
      </w:r>
      <w:r>
        <w:rPr>
          <w:rFonts w:ascii="方正仿宋_GBK" w:hAnsi="方正仿宋_GBK" w:eastAsia="方正仿宋_GBK" w:cs="方正仿宋_GBK"/>
          <w:sz w:val="32"/>
          <w:szCs w:val="32"/>
          <w:shd w:val="clear" w:color="auto" w:fill="FFFFFF"/>
        </w:rPr>
        <w:t>%，较年初预算数无增减</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（4）</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198.20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74.59</w:t>
      </w:r>
      <w:r>
        <w:rPr>
          <w:rFonts w:ascii="方正仿宋_GBK" w:hAnsi="方正仿宋_GBK" w:eastAsia="方正仿宋_GBK" w:cs="方正仿宋_GBK"/>
          <w:sz w:val="32"/>
          <w:szCs w:val="32"/>
          <w:shd w:val="clear" w:color="auto" w:fill="FFFFFF"/>
        </w:rPr>
        <w:t>%，较年初预算数减少1.68万元，下降0.84%，主要原因是</w:t>
      </w:r>
      <w:r>
        <w:rPr>
          <w:rFonts w:hint="eastAsia" w:ascii="方正仿宋_GBK" w:hAnsi="方正仿宋_GBK" w:eastAsia="方正仿宋_GBK" w:cs="方正仿宋_GBK"/>
          <w:sz w:val="32"/>
          <w:szCs w:val="32"/>
          <w:shd w:val="clear" w:color="auto" w:fill="FFFFFF"/>
          <w:lang w:val="en-US" w:eastAsia="zh-CN"/>
        </w:rPr>
        <w:t>本年度因人员调动，人员减少，相关支出减少</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住房保障支出17.59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6.62</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264.42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223.03</w:t>
      </w:r>
      <w:r>
        <w:rPr>
          <w:rFonts w:ascii="方正仿宋_GBK" w:hAnsi="方正仿宋_GBK" w:eastAsia="方正仿宋_GBK" w:cs="方正仿宋_GBK"/>
          <w:sz w:val="32"/>
          <w:szCs w:val="32"/>
          <w:shd w:val="clear" w:color="auto" w:fill="FFFFFF"/>
        </w:rPr>
        <w:t>万元，与2023年度相比，减少46.04万元，下降17.11%，主要原因是</w:t>
      </w:r>
      <w:r>
        <w:rPr>
          <w:rFonts w:hint="eastAsia" w:ascii="方正仿宋_GBK" w:hAnsi="方正仿宋_GBK" w:eastAsia="方正仿宋_GBK" w:cs="方正仿宋_GBK"/>
          <w:sz w:val="32"/>
          <w:szCs w:val="32"/>
          <w:shd w:val="clear" w:color="auto" w:fill="FFFFFF"/>
          <w:lang w:val="en-US" w:eastAsia="zh-CN"/>
        </w:rPr>
        <w:t>去年有职工去世，导致抚恤金支出增加较多，今年未有该项支出。</w:t>
      </w:r>
      <w:r>
        <w:rPr>
          <w:rFonts w:ascii="方正仿宋_GBK" w:hAnsi="方正仿宋_GBK" w:eastAsia="方正仿宋_GBK" w:cs="方正仿宋_GBK"/>
          <w:sz w:val="32"/>
          <w:szCs w:val="32"/>
          <w:shd w:val="clear" w:color="auto" w:fill="FFFFFF"/>
        </w:rPr>
        <w:t>人员经费用途主要包</w:t>
      </w:r>
      <w:r>
        <w:rPr>
          <w:rFonts w:hint="eastAsia" w:ascii="方正仿宋_GBK" w:hAnsi="方正仿宋_GBK" w:eastAsia="方正仿宋_GBK" w:cs="方正仿宋_GBK"/>
          <w:sz w:val="32"/>
          <w:szCs w:val="32"/>
          <w:shd w:val="clear" w:color="auto" w:fill="FFFFFF"/>
          <w:lang w:val="en-US" w:eastAsia="zh-CN"/>
        </w:rPr>
        <w:t>括基本工资、津贴补贴、奖金、社保、公积金支出等。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41.39</w:t>
      </w:r>
      <w:r>
        <w:rPr>
          <w:rFonts w:ascii="方正仿宋_GBK" w:hAnsi="方正仿宋_GBK" w:eastAsia="方正仿宋_GBK" w:cs="方正仿宋_GBK"/>
          <w:sz w:val="32"/>
          <w:szCs w:val="32"/>
          <w:shd w:val="clear" w:color="auto" w:fill="FFFFFF"/>
        </w:rPr>
        <w:t>万元，与2023年度相比，减少19.02万元，下降31.48%，主要原因是</w:t>
      </w:r>
      <w:r>
        <w:rPr>
          <w:rFonts w:hint="eastAsia" w:ascii="方正仿宋_GBK" w:hAnsi="方正仿宋_GBK" w:eastAsia="方正仿宋_GBK" w:cs="方正仿宋_GBK"/>
          <w:sz w:val="32"/>
          <w:szCs w:val="32"/>
          <w:shd w:val="clear" w:color="auto" w:fill="FFFFFF"/>
          <w:lang w:val="en-US" w:eastAsia="zh-CN"/>
        </w:rPr>
        <w:t>本年度按过紧日子文件要求，一是缩减公用经费预算支出；二是严控各项日常费用支出。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办公费、邮电费、工会经费、福利费、公车维护费、其他商品服务支出</w:t>
      </w:r>
      <w:r>
        <w:rPr>
          <w:rFonts w:ascii="方正仿宋_GBK" w:hAnsi="方正仿宋_GBK" w:eastAsia="方正仿宋_GBK" w:cs="方正仿宋_GBK"/>
          <w:sz w:val="32"/>
          <w:szCs w:val="32"/>
          <w:shd w:val="clear" w:color="auto" w:fill="FFFFFF"/>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pPr>
        <w:pStyle w:val="5"/>
        <w:snapToGrid w:val="0"/>
        <w:spacing w:before="0" w:beforeAutospacing="0" w:after="0" w:afterAutospacing="0" w:line="600" w:lineRule="exact"/>
        <w:ind w:firstLine="640" w:firstLineChars="200"/>
        <w:jc w:val="both"/>
        <w:rPr>
          <w:rFonts w:hint="eastAsia" w:ascii="宋体" w:hAnsi="宋体" w:eastAsia="方正仿宋_GBK" w:cs="方正仿宋_GBK"/>
          <w:color w:val="auto"/>
          <w:sz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2.92</w:t>
      </w:r>
      <w:r>
        <w:rPr>
          <w:rFonts w:ascii="方正仿宋_GBK" w:hAnsi="方正仿宋_GBK" w:eastAsia="方正仿宋_GBK" w:cs="方正仿宋_GBK"/>
          <w:sz w:val="32"/>
          <w:szCs w:val="32"/>
          <w:shd w:val="clear" w:color="auto" w:fill="FFFFFF"/>
        </w:rPr>
        <w:t>万元，较年初预算数减少0.08万元，下降2.67%，主要原因是</w:t>
      </w:r>
      <w:r>
        <w:rPr>
          <w:rFonts w:hint="eastAsia" w:ascii="方正仿宋_GBK" w:hAnsi="方正仿宋_GBK" w:eastAsia="方正仿宋_GBK" w:cs="方正仿宋_GBK"/>
          <w:sz w:val="32"/>
          <w:szCs w:val="32"/>
          <w:shd w:val="clear" w:color="auto" w:fill="FFFFFF"/>
          <w:lang w:val="en-US" w:eastAsia="zh-CN"/>
        </w:rPr>
        <w:t>本年度按过紧日子文件要求，严控三公经费支出。</w:t>
      </w:r>
      <w:r>
        <w:rPr>
          <w:rFonts w:ascii="方正仿宋_GBK" w:hAnsi="方正仿宋_GBK" w:eastAsia="方正仿宋_GBK" w:cs="方正仿宋_GBK"/>
          <w:sz w:val="32"/>
          <w:szCs w:val="32"/>
          <w:shd w:val="clear" w:color="auto" w:fill="FFFFFF"/>
        </w:rPr>
        <w:t>较上年支出数减少2.08万元，下降41.60%，主要原因是</w:t>
      </w:r>
      <w:r>
        <w:rPr>
          <w:rFonts w:hint="eastAsia" w:ascii="方正仿宋_GBK" w:hAnsi="方正仿宋_GBK" w:eastAsia="方正仿宋_GBK" w:cs="方正仿宋_GBK"/>
          <w:sz w:val="32"/>
          <w:szCs w:val="32"/>
          <w:shd w:val="clear" w:color="auto" w:fill="FFFFFF"/>
          <w:lang w:val="en-US" w:eastAsia="zh-CN"/>
        </w:rPr>
        <w:t>本年度按过紧日子文件要求，缩减公车运行费预算2万，支出减少</w:t>
      </w:r>
      <w:r>
        <w:rPr>
          <w:rFonts w:hint="eastAsia" w:ascii="宋体" w:hAnsi="宋体" w:eastAsia="方正仿宋_GBK" w:cs="方正仿宋_GBK"/>
          <w:color w:val="auto"/>
          <w:sz w:val="32"/>
          <w:lang w:val="en-US"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2.92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公务车维修、充电等费用支出</w:t>
      </w:r>
      <w:r>
        <w:rPr>
          <w:rFonts w:ascii="方正仿宋_GBK" w:hAnsi="方正仿宋_GBK" w:eastAsia="方正仿宋_GBK" w:cs="方正仿宋_GBK"/>
          <w:sz w:val="32"/>
          <w:szCs w:val="32"/>
          <w:shd w:val="clear" w:color="auto" w:fill="FFFFFF"/>
        </w:rPr>
        <w:t>。费用支出较年初预算数减少0.08万元，下降2.67%，主要原因是</w:t>
      </w:r>
      <w:r>
        <w:rPr>
          <w:rFonts w:hint="eastAsia" w:ascii="方正仿宋_GBK" w:hAnsi="方正仿宋_GBK" w:eastAsia="方正仿宋_GBK" w:cs="方正仿宋_GBK"/>
          <w:sz w:val="32"/>
          <w:szCs w:val="32"/>
          <w:shd w:val="clear" w:color="auto" w:fill="FFFFFF"/>
          <w:lang w:val="en-US" w:eastAsia="zh-CN"/>
        </w:rPr>
        <w:t>本年度按过紧日子文件要求，严控公务车运行维护费支出。</w:t>
      </w:r>
      <w:r>
        <w:rPr>
          <w:rFonts w:ascii="方正仿宋_GBK" w:hAnsi="方正仿宋_GBK" w:eastAsia="方正仿宋_GBK" w:cs="方正仿宋_GBK"/>
          <w:sz w:val="32"/>
          <w:szCs w:val="32"/>
          <w:shd w:val="clear" w:color="auto" w:fill="FFFFFF"/>
        </w:rPr>
        <w:t>较上年支出数减少2.08万元，下降41.60%，主要原因是</w:t>
      </w:r>
      <w:r>
        <w:rPr>
          <w:rFonts w:hint="eastAsia" w:ascii="方正仿宋_GBK" w:hAnsi="方正仿宋_GBK" w:eastAsia="方正仿宋_GBK" w:cs="方正仿宋_GBK"/>
          <w:sz w:val="32"/>
          <w:szCs w:val="32"/>
          <w:shd w:val="clear" w:color="auto" w:fill="FFFFFF"/>
          <w:lang w:val="en-US" w:eastAsia="zh-CN"/>
        </w:rPr>
        <w:t>本年度按过紧日子文件要求，缩减公车运行费预算2万，支出减少。</w:t>
      </w:r>
    </w:p>
    <w:p>
      <w:pPr>
        <w:pStyle w:val="5"/>
        <w:snapToGrid w:val="0"/>
        <w:spacing w:before="0" w:beforeAutospacing="0" w:after="0" w:afterAutospacing="0" w:line="600" w:lineRule="exact"/>
        <w:ind w:firstLine="640" w:firstLineChars="200"/>
        <w:jc w:val="both"/>
        <w:rPr>
          <w:rFonts w:hint="eastAsia" w:ascii="宋体" w:hAnsi="宋体" w:eastAsia="方正仿宋_GBK" w:cs="方正仿宋_GBK"/>
          <w:color w:val="auto"/>
          <w:sz w:val="32"/>
          <w:lang w:val="en-US" w:eastAsia="zh-CN"/>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2.92</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pPr>
        <w:keepNext w:val="0"/>
        <w:keepLines w:val="0"/>
        <w:pageBreakBefore w:val="0"/>
        <w:kinsoku/>
        <w:wordWrap/>
        <w:overflowPunct/>
        <w:topLinePunct w:val="0"/>
        <w:autoSpaceDN/>
        <w:bidi w:val="0"/>
        <w:snapToGrid/>
        <w:spacing w:line="579" w:lineRule="exact"/>
        <w:ind w:firstLine="480" w:firstLineChars="15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持平</w:t>
      </w:r>
      <w:r>
        <w:rPr>
          <w:rFonts w:ascii="方正仿宋_GBK" w:hAnsi="方正仿宋_GBK" w:eastAsia="方正仿宋_GBK" w:cs="方正仿宋_GBK"/>
          <w:sz w:val="32"/>
          <w:szCs w:val="32"/>
          <w:shd w:val="clear" w:color="auto" w:fill="FFFFFF"/>
        </w:rPr>
        <w:t>。</w:t>
      </w:r>
    </w:p>
    <w:p>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年度培训费支出</w:t>
      </w:r>
      <w:r>
        <w:rPr>
          <w:rFonts w:ascii="方正仿宋_GBK" w:hAnsi="方正仿宋_GBK" w:eastAsia="方正仿宋_GBK" w:cs="方正仿宋_GBK"/>
          <w:sz w:val="32"/>
          <w:szCs w:val="32"/>
        </w:rPr>
        <w:t>0.85</w:t>
      </w:r>
      <w:r>
        <w:rPr>
          <w:rFonts w:ascii="方正仿宋_GBK" w:hAnsi="方正仿宋_GBK" w:eastAsia="方正仿宋_GBK" w:cs="方正仿宋_GBK"/>
          <w:sz w:val="32"/>
          <w:szCs w:val="32"/>
          <w:shd w:val="clear" w:color="auto" w:fill="FFFFFF"/>
        </w:rPr>
        <w:t>万元，与2023年度相比，增加0.84万元，增长8400.00%，主要原因</w:t>
      </w:r>
      <w:r>
        <w:rPr>
          <w:rFonts w:hint="eastAsia" w:ascii="方正仿宋_GBK" w:hAnsi="方正仿宋_GBK" w:eastAsia="方正仿宋_GBK" w:cs="方正仿宋_GBK"/>
          <w:sz w:val="32"/>
          <w:szCs w:val="32"/>
          <w:shd w:val="clear" w:color="auto" w:fill="FFFFFF"/>
          <w:lang w:val="en-US" w:eastAsia="zh-CN"/>
        </w:rPr>
        <w:t>是本年度根据工作安排参加各种培训产生了费用。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w:t>
      </w:r>
      <w:r>
        <w:rPr>
          <w:rFonts w:hint="eastAsia" w:ascii="宋体" w:hAnsi="宋体" w:eastAsia="方正仿宋_GBK" w:cs="方正仿宋_GBK"/>
          <w:kern w:val="0"/>
          <w:sz w:val="32"/>
          <w:szCs w:val="32"/>
          <w:lang w:val="en-US" w:eastAsia="zh-CN"/>
        </w:rPr>
        <w:t>部门</w:t>
      </w:r>
      <w:r>
        <w:rPr>
          <w:rFonts w:hint="eastAsia" w:ascii="宋体" w:hAnsi="宋体" w:eastAsia="方正仿宋_GBK" w:cs="方正仿宋_GBK"/>
          <w:kern w:val="0"/>
          <w:sz w:val="32"/>
          <w:szCs w:val="32"/>
        </w:rPr>
        <w:t>机关运行经费支出</w:t>
      </w:r>
      <w:r>
        <w:rPr>
          <w:rFonts w:hint="eastAsia" w:ascii="宋体" w:hAnsi="宋体" w:eastAsia="方正仿宋_GBK" w:cs="方正仿宋_GBK"/>
          <w:kern w:val="0"/>
          <w:sz w:val="32"/>
          <w:szCs w:val="32"/>
          <w:lang w:val="en-US" w:eastAsia="zh-CN"/>
        </w:rPr>
        <w:t>41.39</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较上年减少19.02</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下降31.48</w:t>
      </w:r>
      <w:r>
        <w:rPr>
          <w:rFonts w:hint="eastAsia" w:ascii="宋体" w:hAnsi="宋体" w:eastAsia="方正仿宋_GBK" w:cs="方正仿宋_GBK"/>
          <w:kern w:val="0"/>
          <w:sz w:val="32"/>
          <w:szCs w:val="32"/>
        </w:rPr>
        <w:t>%，主要原因</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一是2023年与大数据局合署办公造成运行成本增加；二是本年按过紧日子文件要求缩减了公用经费预算加上厉行节约严控各项日常费用支出</w:t>
      </w:r>
      <w:r>
        <w:rPr>
          <w:rFonts w:hint="eastAsia" w:ascii="宋体" w:hAnsi="宋体" w:eastAsia="方正仿宋_GBK" w:cs="方正仿宋_GBK"/>
          <w:kern w:val="0"/>
          <w:sz w:val="32"/>
          <w:szCs w:val="32"/>
        </w:rPr>
        <w:t>。比年初预算数</w:t>
      </w:r>
      <w:r>
        <w:rPr>
          <w:rFonts w:hint="eastAsia" w:ascii="宋体" w:hAnsi="宋体" w:eastAsia="方正仿宋_GBK" w:cs="方正仿宋_GBK"/>
          <w:kern w:val="0"/>
          <w:sz w:val="32"/>
          <w:szCs w:val="32"/>
          <w:lang w:val="en-US" w:eastAsia="zh-CN"/>
        </w:rPr>
        <w:t>减少9.67</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下降18.94</w:t>
      </w:r>
      <w:r>
        <w:rPr>
          <w:rFonts w:hint="eastAsia" w:ascii="宋体" w:hAnsi="宋体" w:eastAsia="方正仿宋_GBK" w:cs="方正仿宋_GBK"/>
          <w:kern w:val="0"/>
          <w:sz w:val="32"/>
          <w:szCs w:val="32"/>
        </w:rPr>
        <w:t>%，主要原因是</w:t>
      </w:r>
      <w:r>
        <w:rPr>
          <w:rFonts w:hint="eastAsia" w:ascii="宋体" w:hAnsi="宋体" w:eastAsia="方正仿宋_GBK" w:cs="方正仿宋_GBK"/>
          <w:kern w:val="0"/>
          <w:sz w:val="32"/>
          <w:szCs w:val="32"/>
          <w:lang w:val="en-US" w:eastAsia="zh-CN"/>
        </w:rPr>
        <w:t>本年按过紧日子文件要求厉行节约严控各项支出</w:t>
      </w:r>
      <w:r>
        <w:rPr>
          <w:rFonts w:hint="eastAsia" w:ascii="宋体" w:hAnsi="宋体" w:eastAsia="方正仿宋_GBK" w:cs="方正仿宋_GBK"/>
          <w:kern w:val="0"/>
          <w:sz w:val="32"/>
          <w:szCs w:val="32"/>
        </w:rPr>
        <w:t>。机关运动经费主要用于</w:t>
      </w:r>
      <w:r>
        <w:rPr>
          <w:rFonts w:hint="eastAsia" w:ascii="宋体" w:hAnsi="宋体" w:eastAsia="方正仿宋_GBK" w:cs="方正仿宋_GBK"/>
          <w:kern w:val="0"/>
          <w:sz w:val="32"/>
          <w:szCs w:val="32"/>
          <w:lang w:val="en-US" w:eastAsia="zh-CN"/>
        </w:rPr>
        <w:t>开支</w:t>
      </w:r>
      <w:r>
        <w:rPr>
          <w:rFonts w:hint="eastAsia" w:ascii="宋体" w:hAnsi="宋体" w:eastAsia="方正仿宋_GBK" w:cs="方正仿宋_GBK"/>
          <w:kern w:val="0"/>
          <w:sz w:val="32"/>
          <w:szCs w:val="32"/>
        </w:rPr>
        <w:t>办公费</w:t>
      </w:r>
      <w:r>
        <w:rPr>
          <w:rFonts w:hint="eastAsia" w:ascii="宋体" w:hAnsi="宋体" w:eastAsia="方正仿宋_GBK" w:cs="方正仿宋_GBK"/>
          <w:kern w:val="0"/>
          <w:sz w:val="32"/>
          <w:szCs w:val="32"/>
          <w:lang w:val="en-US" w:eastAsia="zh-CN"/>
        </w:rPr>
        <w:t>7.27</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rPr>
        <w:t>其他交通费</w:t>
      </w:r>
      <w:r>
        <w:rPr>
          <w:rFonts w:hint="eastAsia" w:ascii="宋体" w:hAnsi="宋体" w:eastAsia="方正仿宋_GBK" w:cs="方正仿宋_GBK"/>
          <w:kern w:val="0"/>
          <w:sz w:val="32"/>
          <w:szCs w:val="32"/>
          <w:lang w:val="en-US" w:eastAsia="zh-CN"/>
        </w:rPr>
        <w:t>9.2</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、其他商品和服务支出</w:t>
      </w:r>
      <w:r>
        <w:rPr>
          <w:rFonts w:hint="eastAsia" w:ascii="宋体" w:hAnsi="宋体" w:eastAsia="方正仿宋_GBK" w:cs="方正仿宋_GBK"/>
          <w:kern w:val="0"/>
          <w:sz w:val="32"/>
          <w:szCs w:val="32"/>
          <w:lang w:val="en-US" w:eastAsia="zh-CN"/>
        </w:rPr>
        <w:t>8.15万元、工会经费4.01万元、公车运行维护费2.92万元</w:t>
      </w:r>
      <w:r>
        <w:rPr>
          <w:rFonts w:hint="eastAsia" w:ascii="宋体" w:hAnsi="宋体" w:eastAsia="方正仿宋_GBK" w:cs="方正仿宋_GBK"/>
          <w:kern w:val="0"/>
          <w:sz w:val="32"/>
          <w:szCs w:val="32"/>
          <w:lang w:eastAsia="zh-CN"/>
        </w:rPr>
        <w:t>、邮电费</w:t>
      </w:r>
      <w:r>
        <w:rPr>
          <w:rFonts w:hint="eastAsia" w:ascii="宋体" w:hAnsi="宋体" w:eastAsia="方正仿宋_GBK" w:cs="方正仿宋_GBK"/>
          <w:kern w:val="0"/>
          <w:sz w:val="32"/>
          <w:szCs w:val="32"/>
          <w:lang w:val="en-US" w:eastAsia="zh-CN"/>
        </w:rPr>
        <w:t>3.13</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福利费2.53万元、维修费1.66万元</w:t>
      </w:r>
      <w:r>
        <w:rPr>
          <w:rFonts w:hint="eastAsia" w:ascii="宋体" w:hAnsi="宋体" w:eastAsia="方正仿宋_GBK" w:cs="方正仿宋_GBK"/>
          <w:kern w:val="0"/>
          <w:sz w:val="32"/>
          <w:szCs w:val="32"/>
        </w:rPr>
        <w:t>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eastAsia="zh-CN"/>
        </w:rPr>
        <w:t>2024年</w:t>
      </w:r>
      <w:r>
        <w:rPr>
          <w:rFonts w:hint="eastAsia" w:ascii="宋体" w:hAnsi="宋体" w:eastAsia="方正仿宋_GBK" w:cs="方正仿宋_GBK"/>
          <w:kern w:val="0"/>
          <w:sz w:val="32"/>
          <w:szCs w:val="32"/>
        </w:rPr>
        <w:t>度我单位未发生政府采购事项，无相关经费支出。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根据预算绩效管理要求，</w:t>
      </w:r>
      <w:r>
        <w:rPr>
          <w:rFonts w:hint="eastAsia" w:ascii="宋体" w:hAnsi="宋体" w:eastAsia="方正仿宋_GBK" w:cs="方正仿宋_GBK"/>
          <w:kern w:val="0"/>
          <w:sz w:val="32"/>
          <w:szCs w:val="32"/>
          <w:lang w:val="en-US" w:eastAsia="zh-CN"/>
        </w:rPr>
        <w:t>我单位</w:t>
      </w:r>
      <w:bookmarkStart w:id="0" w:name="_GoBack"/>
      <w:bookmarkEnd w:id="0"/>
      <w:r>
        <w:rPr>
          <w:rFonts w:hint="eastAsia" w:ascii="宋体" w:hAnsi="宋体" w:eastAsia="方正仿宋_GBK" w:cs="方正仿宋_GBK"/>
          <w:kern w:val="0"/>
          <w:sz w:val="32"/>
          <w:szCs w:val="32"/>
        </w:rPr>
        <w:t>对1个项目开展了绩效自评，其中，以填报目标自评表形式开展自评1项，涉及资金1.28万元；以委托第三方形式开展绩效自评0项，涉及资金0万元。</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3"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 绩效目标自评表</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000000"/>
          <w:kern w:val="0"/>
          <w:sz w:val="32"/>
          <w:szCs w:val="32"/>
        </w:rPr>
        <w:t>（1）公开范围。</w:t>
      </w:r>
      <w:r>
        <w:rPr>
          <w:rFonts w:hint="eastAsia" w:ascii="宋体" w:hAnsi="宋体" w:eastAsia="方正仿宋_GBK" w:cs="方正仿宋_GBK"/>
          <w:kern w:val="0"/>
          <w:sz w:val="32"/>
          <w:szCs w:val="32"/>
          <w:lang w:val="en-US" w:eastAsia="zh-CN" w:bidi="ar"/>
        </w:rPr>
        <w:t>部门应公开部门整体绩效自评表和项目绩效自评表，单位只需公开项目绩效自评表。有重点专项项目的部门应公开所有重点专项项目绩效自评表；无重点专项项目的部门应选择至少一个一般性项目绩效自评表进行公开。</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（2）公开内容。详见表格。</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p>
    <w:tbl>
      <w:tblPr>
        <w:tblStyle w:val="6"/>
        <w:tblW w:w="91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1"/>
        <w:gridCol w:w="828"/>
        <w:gridCol w:w="780"/>
        <w:gridCol w:w="548"/>
        <w:gridCol w:w="217"/>
        <w:gridCol w:w="526"/>
        <w:gridCol w:w="194"/>
        <w:gridCol w:w="579"/>
        <w:gridCol w:w="351"/>
        <w:gridCol w:w="470"/>
        <w:gridCol w:w="355"/>
        <w:gridCol w:w="151"/>
        <w:gridCol w:w="494"/>
        <w:gridCol w:w="153"/>
        <w:gridCol w:w="627"/>
        <w:gridCol w:w="147"/>
        <w:gridCol w:w="521"/>
        <w:gridCol w:w="112"/>
        <w:gridCol w:w="46"/>
        <w:gridCol w:w="494"/>
        <w:gridCol w:w="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137" w:type="dxa"/>
            <w:gridSpan w:val="2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highlight w:val="none"/>
                <w:u w:val="none"/>
              </w:rPr>
            </w:pPr>
            <w:r>
              <w:rPr>
                <w:rFonts w:hint="eastAsia" w:ascii="微软雅黑" w:hAnsi="微软雅黑" w:eastAsia="微软雅黑" w:cs="微软雅黑"/>
                <w:b/>
                <w:bCs/>
                <w:i w:val="0"/>
                <w:iCs w:val="0"/>
                <w:color w:val="000000"/>
                <w:kern w:val="0"/>
                <w:sz w:val="40"/>
                <w:szCs w:val="40"/>
                <w:highlight w:val="none"/>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项目名称：</w:t>
            </w:r>
          </w:p>
        </w:tc>
        <w:tc>
          <w:tcPr>
            <w:tcW w:w="16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工业发展管理经费</w:t>
            </w:r>
          </w:p>
        </w:tc>
        <w:tc>
          <w:tcPr>
            <w:tcW w:w="129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项目编码：</w:t>
            </w:r>
          </w:p>
        </w:tc>
        <w:tc>
          <w:tcPr>
            <w:tcW w:w="159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50011622T000000101120</w:t>
            </w:r>
          </w:p>
        </w:tc>
        <w:tc>
          <w:tcPr>
            <w:tcW w:w="115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自评总分：</w:t>
            </w:r>
          </w:p>
        </w:tc>
        <w:tc>
          <w:tcPr>
            <w:tcW w:w="77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679"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18"/>
                <w:szCs w:val="18"/>
                <w:highlight w:val="none"/>
                <w:u w:val="none"/>
              </w:rPr>
            </w:pPr>
          </w:p>
        </w:tc>
        <w:tc>
          <w:tcPr>
            <w:tcW w:w="997"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项目主管部门：</w:t>
            </w:r>
          </w:p>
        </w:tc>
        <w:tc>
          <w:tcPr>
            <w:tcW w:w="16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606-重庆市江津区经济和信息化委员会</w:t>
            </w:r>
          </w:p>
        </w:tc>
        <w:tc>
          <w:tcPr>
            <w:tcW w:w="129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财政归口处室：</w:t>
            </w:r>
          </w:p>
        </w:tc>
        <w:tc>
          <w:tcPr>
            <w:tcW w:w="159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006-产业发展科</w:t>
            </w:r>
          </w:p>
        </w:tc>
        <w:tc>
          <w:tcPr>
            <w:tcW w:w="115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部门联系人：</w:t>
            </w:r>
          </w:p>
        </w:tc>
        <w:tc>
          <w:tcPr>
            <w:tcW w:w="77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苏小燕</w:t>
            </w:r>
          </w:p>
        </w:tc>
        <w:tc>
          <w:tcPr>
            <w:tcW w:w="67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联系电话：</w:t>
            </w:r>
          </w:p>
        </w:tc>
        <w:tc>
          <w:tcPr>
            <w:tcW w:w="99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18983462228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9137" w:type="dxa"/>
            <w:gridSpan w:val="2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highlight w:val="none"/>
                <w:u w:val="none"/>
              </w:rPr>
            </w:pPr>
            <w:r>
              <w:rPr>
                <w:rFonts w:hint="eastAsia" w:ascii="微软雅黑" w:hAnsi="微软雅黑" w:eastAsia="微软雅黑" w:cs="微软雅黑"/>
                <w:b/>
                <w:bCs/>
                <w:i w:val="0"/>
                <w:iCs w:val="0"/>
                <w:color w:val="808080"/>
                <w:kern w:val="0"/>
                <w:sz w:val="20"/>
                <w:szCs w:val="20"/>
                <w:highlight w:val="none"/>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13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年初预算数</w:t>
            </w:r>
          </w:p>
        </w:tc>
        <w:tc>
          <w:tcPr>
            <w:tcW w:w="15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全年（调整）预算数</w:t>
            </w:r>
          </w:p>
        </w:tc>
        <w:tc>
          <w:tcPr>
            <w:tcW w:w="132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全年执行数</w:t>
            </w:r>
          </w:p>
        </w:tc>
        <w:tc>
          <w:tcPr>
            <w:tcW w:w="12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执行率</w:t>
            </w:r>
          </w:p>
        </w:tc>
        <w:tc>
          <w:tcPr>
            <w:tcW w:w="66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执行率权重</w:t>
            </w:r>
          </w:p>
        </w:tc>
        <w:tc>
          <w:tcPr>
            <w:tcW w:w="115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年度总金额</w:t>
            </w:r>
          </w:p>
        </w:tc>
        <w:tc>
          <w:tcPr>
            <w:tcW w:w="13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14300.00 </w:t>
            </w:r>
          </w:p>
        </w:tc>
        <w:tc>
          <w:tcPr>
            <w:tcW w:w="15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12778</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 xml:space="preserve">0 </w:t>
            </w:r>
          </w:p>
        </w:tc>
        <w:tc>
          <w:tcPr>
            <w:tcW w:w="132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12778</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 xml:space="preserve">0 </w:t>
            </w:r>
          </w:p>
        </w:tc>
        <w:tc>
          <w:tcPr>
            <w:tcW w:w="127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highlight w:val="none"/>
                <w:u w:val="none"/>
              </w:rPr>
            </w:pPr>
          </w:p>
        </w:tc>
        <w:tc>
          <w:tcPr>
            <w:tcW w:w="668"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highlight w:val="none"/>
                <w:u w:val="none"/>
              </w:rPr>
            </w:pPr>
          </w:p>
        </w:tc>
        <w:tc>
          <w:tcPr>
            <w:tcW w:w="1155"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其中：财政拨款</w:t>
            </w:r>
          </w:p>
        </w:tc>
        <w:tc>
          <w:tcPr>
            <w:tcW w:w="13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180" w:firstLineChars="10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14300.00 </w:t>
            </w:r>
          </w:p>
        </w:tc>
        <w:tc>
          <w:tcPr>
            <w:tcW w:w="15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180" w:firstLineChars="10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12778</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 xml:space="preserve">0 </w:t>
            </w:r>
          </w:p>
        </w:tc>
        <w:tc>
          <w:tcPr>
            <w:tcW w:w="132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180" w:firstLineChars="10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12778</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 xml:space="preserve">0 </w:t>
            </w:r>
          </w:p>
        </w:tc>
        <w:tc>
          <w:tcPr>
            <w:tcW w:w="12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66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15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一般公共预算</w:t>
            </w:r>
          </w:p>
        </w:tc>
        <w:tc>
          <w:tcPr>
            <w:tcW w:w="13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180" w:firstLineChars="10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 xml:space="preserve">14300.00 </w:t>
            </w:r>
          </w:p>
        </w:tc>
        <w:tc>
          <w:tcPr>
            <w:tcW w:w="15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180" w:firstLineChars="10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12778</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 xml:space="preserve">0 </w:t>
            </w:r>
          </w:p>
        </w:tc>
        <w:tc>
          <w:tcPr>
            <w:tcW w:w="132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180" w:firstLineChars="10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12778</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 xml:space="preserve">0 </w:t>
            </w:r>
          </w:p>
        </w:tc>
        <w:tc>
          <w:tcPr>
            <w:tcW w:w="12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180" w:firstLineChars="10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100</w:t>
            </w:r>
          </w:p>
        </w:tc>
        <w:tc>
          <w:tcPr>
            <w:tcW w:w="66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15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7" w:type="dxa"/>
            <w:gridSpan w:val="2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highlight w:val="none"/>
                <w:u w:val="none"/>
              </w:rPr>
            </w:pPr>
            <w:r>
              <w:rPr>
                <w:rFonts w:hint="eastAsia" w:ascii="微软雅黑" w:hAnsi="微软雅黑" w:eastAsia="微软雅黑" w:cs="微软雅黑"/>
                <w:b/>
                <w:bCs/>
                <w:i w:val="0"/>
                <w:iCs w:val="0"/>
                <w:color w:val="808080"/>
                <w:kern w:val="0"/>
                <w:sz w:val="20"/>
                <w:szCs w:val="20"/>
                <w:highlight w:val="none"/>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14"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年初绩效目标</w:t>
            </w:r>
          </w:p>
        </w:tc>
        <w:tc>
          <w:tcPr>
            <w:tcW w:w="3120"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全年（调整）绩效目标</w:t>
            </w:r>
          </w:p>
        </w:tc>
        <w:tc>
          <w:tcPr>
            <w:tcW w:w="2603"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3414"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年内参与引进项目6个以上，协议引资额3亿元以上；配合其他工作</w:t>
            </w:r>
          </w:p>
        </w:tc>
        <w:tc>
          <w:tcPr>
            <w:tcW w:w="3120" w:type="dxa"/>
            <w:gridSpan w:val="8"/>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p>
        </w:tc>
        <w:tc>
          <w:tcPr>
            <w:tcW w:w="2603" w:type="dxa"/>
            <w:gridSpan w:val="8"/>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全年积极参与招商引资，协助平台引进项目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7" w:type="dxa"/>
            <w:gridSpan w:val="2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highlight w:val="none"/>
                <w:u w:val="none"/>
              </w:rPr>
            </w:pPr>
            <w:r>
              <w:rPr>
                <w:rFonts w:hint="eastAsia" w:ascii="微软雅黑" w:hAnsi="微软雅黑" w:eastAsia="微软雅黑" w:cs="微软雅黑"/>
                <w:b/>
                <w:bCs/>
                <w:i w:val="0"/>
                <w:iCs w:val="0"/>
                <w:color w:val="808080"/>
                <w:kern w:val="0"/>
                <w:sz w:val="20"/>
                <w:szCs w:val="20"/>
                <w:highlight w:val="none"/>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指标名称</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指标性质</w:t>
            </w:r>
          </w:p>
        </w:tc>
        <w:tc>
          <w:tcPr>
            <w:tcW w:w="7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指标值</w:t>
            </w:r>
          </w:p>
        </w:tc>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全年完成值</w:t>
            </w:r>
          </w:p>
        </w:tc>
        <w:tc>
          <w:tcPr>
            <w:tcW w:w="9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偏离度（%）</w:t>
            </w:r>
          </w:p>
        </w:tc>
        <w:tc>
          <w:tcPr>
            <w:tcW w:w="8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得分系数（%）</w:t>
            </w:r>
          </w:p>
        </w:tc>
        <w:tc>
          <w:tcPr>
            <w:tcW w:w="6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指标权重</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指标得分</w:t>
            </w:r>
          </w:p>
        </w:tc>
        <w:tc>
          <w:tcPr>
            <w:tcW w:w="78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是否核心指标</w:t>
            </w:r>
          </w:p>
        </w:tc>
        <w:tc>
          <w:tcPr>
            <w:tcW w:w="54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说明</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市财政局建议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招商引资完成率</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人次</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11.11</w:t>
            </w:r>
          </w:p>
        </w:tc>
        <w:tc>
          <w:tcPr>
            <w:tcW w:w="8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6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80"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是</w:t>
            </w:r>
          </w:p>
        </w:tc>
        <w:tc>
          <w:tcPr>
            <w:tcW w:w="540"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差旅费标准执行率</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8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6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80"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是</w:t>
            </w:r>
          </w:p>
        </w:tc>
        <w:tc>
          <w:tcPr>
            <w:tcW w:w="540"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协议引资额</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亿元</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3.5</w:t>
            </w:r>
          </w:p>
        </w:tc>
        <w:tc>
          <w:tcPr>
            <w:tcW w:w="9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16.67</w:t>
            </w:r>
          </w:p>
        </w:tc>
        <w:tc>
          <w:tcPr>
            <w:tcW w:w="8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6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0</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0</w:t>
            </w:r>
          </w:p>
        </w:tc>
        <w:tc>
          <w:tcPr>
            <w:tcW w:w="780"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是</w:t>
            </w:r>
          </w:p>
        </w:tc>
        <w:tc>
          <w:tcPr>
            <w:tcW w:w="540"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参与引进项目数</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7</w:t>
            </w:r>
          </w:p>
        </w:tc>
        <w:tc>
          <w:tcPr>
            <w:tcW w:w="9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16.67</w:t>
            </w:r>
          </w:p>
        </w:tc>
        <w:tc>
          <w:tcPr>
            <w:tcW w:w="8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6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0</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0</w:t>
            </w:r>
          </w:p>
        </w:tc>
        <w:tc>
          <w:tcPr>
            <w:tcW w:w="780"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否</w:t>
            </w:r>
          </w:p>
        </w:tc>
        <w:tc>
          <w:tcPr>
            <w:tcW w:w="540"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w:t>
            </w:r>
            <w:r>
              <w:rPr>
                <w:rFonts w:hint="eastAsia" w:ascii="宋体" w:hAnsi="宋体" w:cs="宋体"/>
                <w:i w:val="0"/>
                <w:iCs w:val="0"/>
                <w:color w:val="000000"/>
                <w:kern w:val="0"/>
                <w:sz w:val="20"/>
                <w:szCs w:val="20"/>
                <w:highlight w:val="none"/>
                <w:u w:val="none"/>
                <w:lang w:val="en-US" w:eastAsia="zh-CN" w:bidi="ar"/>
              </w:rPr>
              <w:t>5</w:t>
            </w:r>
          </w:p>
        </w:tc>
        <w:tc>
          <w:tcPr>
            <w:tcW w:w="9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5.56</w:t>
            </w:r>
          </w:p>
        </w:tc>
        <w:tc>
          <w:tcPr>
            <w:tcW w:w="8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6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80"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否</w:t>
            </w:r>
          </w:p>
        </w:tc>
        <w:tc>
          <w:tcPr>
            <w:tcW w:w="540"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r>
    </w:tbl>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p>
    <w:p>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部门应根据实际情况对专业名词进行解释，不得遗漏。</w:t>
      </w:r>
      <w:r>
        <w:rPr>
          <w:rFonts w:hint="eastAsia" w:ascii="宋体" w:hAnsi="宋体" w:eastAsia="方正仿宋_GBK" w:cs="方正仿宋_GBK"/>
          <w:sz w:val="32"/>
          <w:szCs w:val="32"/>
          <w:lang w:val="en-US" w:eastAsia="zh-CN"/>
        </w:rPr>
        <w:t>示例：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联系人：黄梅</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联系电话：47521393</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lvl>
  </w:abstractNum>
  <w:abstractNum w:abstractNumId="3">
    <w:nsid w:val="FC092FFC"/>
    <w:multiLevelType w:val="singleLevel"/>
    <w:tmpl w:val="FC092FFC"/>
    <w:lvl w:ilvl="0" w:tentative="0">
      <w:start w:val="1"/>
      <w:numFmt w:val="decimal"/>
      <w:suff w:val="nothing"/>
      <w:lvlText w:val="（%1）"/>
      <w:lvlJc w:val="left"/>
    </w:lvl>
  </w:abstractNum>
  <w:abstractNum w:abstractNumId="4">
    <w:nsid w:val="170F8B3D"/>
    <w:multiLevelType w:val="singleLevel"/>
    <w:tmpl w:val="170F8B3D"/>
    <w:lvl w:ilvl="0" w:tentative="0">
      <w:start w:val="1"/>
      <w:numFmt w:val="decimal"/>
      <w:suff w:val="space"/>
      <w:lvlText w:val="%1."/>
      <w:lvlJc w:val="left"/>
    </w:lvl>
  </w:abstractNum>
  <w:abstractNum w:abstractNumId="5">
    <w:nsid w:val="36AF54E0"/>
    <w:multiLevelType w:val="singleLevel"/>
    <w:tmpl w:val="36AF54E0"/>
    <w:lvl w:ilvl="0" w:tentative="0">
      <w:start w:val="2"/>
      <w:numFmt w:val="decimal"/>
      <w:suff w:val="space"/>
      <w:lvlText w:val="%1."/>
      <w:lvlJc w:val="left"/>
    </w:lvl>
  </w:abstractNum>
  <w:abstractNum w:abstractNumId="6">
    <w:nsid w:val="6BB1AE55"/>
    <w:multiLevelType w:val="singleLevel"/>
    <w:tmpl w:val="6BB1AE55"/>
    <w:lvl w:ilvl="0" w:tentative="0">
      <w:start w:val="1"/>
      <w:numFmt w:val="chineseCounting"/>
      <w:suff w:val="nothing"/>
      <w:lvlText w:val="（%1）"/>
      <w:lvlJc w:val="left"/>
      <w:rPr>
        <w:rFonts w:hint="eastAsia"/>
      </w:rPr>
    </w:lvl>
  </w:abstractNum>
  <w:abstractNum w:abstractNumId="7">
    <w:nsid w:val="7FC6D37E"/>
    <w:multiLevelType w:val="singleLevel"/>
    <w:tmpl w:val="7FC6D37E"/>
    <w:lvl w:ilvl="0" w:tentative="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4EE72A6"/>
    <w:rsid w:val="05081AD1"/>
    <w:rsid w:val="052E6699"/>
    <w:rsid w:val="057728DC"/>
    <w:rsid w:val="05912D04"/>
    <w:rsid w:val="05C1448E"/>
    <w:rsid w:val="05C1761D"/>
    <w:rsid w:val="05D90398"/>
    <w:rsid w:val="05E52FAD"/>
    <w:rsid w:val="060A24AD"/>
    <w:rsid w:val="06E67100"/>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B43951"/>
    <w:rsid w:val="0FB571D5"/>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290293"/>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7A82ADD"/>
    <w:rsid w:val="180B07AE"/>
    <w:rsid w:val="181A2360"/>
    <w:rsid w:val="181F4708"/>
    <w:rsid w:val="18221462"/>
    <w:rsid w:val="184F1121"/>
    <w:rsid w:val="185B2A86"/>
    <w:rsid w:val="18854A4A"/>
    <w:rsid w:val="18C66253"/>
    <w:rsid w:val="18CD5743"/>
    <w:rsid w:val="193F18FA"/>
    <w:rsid w:val="197B50D2"/>
    <w:rsid w:val="19926875"/>
    <w:rsid w:val="1A297DDD"/>
    <w:rsid w:val="1A7919B9"/>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200551AB"/>
    <w:rsid w:val="205932DE"/>
    <w:rsid w:val="20A03801"/>
    <w:rsid w:val="20A67B9D"/>
    <w:rsid w:val="20BC5FF2"/>
    <w:rsid w:val="21812D83"/>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2E4BC0"/>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34285D"/>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833969"/>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CE43076"/>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0E4827"/>
    <w:rsid w:val="40552C1F"/>
    <w:rsid w:val="4057229F"/>
    <w:rsid w:val="405F7DEE"/>
    <w:rsid w:val="40992FB0"/>
    <w:rsid w:val="40DB7824"/>
    <w:rsid w:val="410115DD"/>
    <w:rsid w:val="417D2480"/>
    <w:rsid w:val="418A21AD"/>
    <w:rsid w:val="41A212A1"/>
    <w:rsid w:val="41EC42BB"/>
    <w:rsid w:val="421F7A8A"/>
    <w:rsid w:val="4239228E"/>
    <w:rsid w:val="428A1304"/>
    <w:rsid w:val="42E44C98"/>
    <w:rsid w:val="431B6113"/>
    <w:rsid w:val="438834DF"/>
    <w:rsid w:val="43A20A3C"/>
    <w:rsid w:val="440B4462"/>
    <w:rsid w:val="444C66C3"/>
    <w:rsid w:val="44630F9F"/>
    <w:rsid w:val="446A3603"/>
    <w:rsid w:val="458B573C"/>
    <w:rsid w:val="45C81602"/>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8F254BA"/>
    <w:rsid w:val="4901682D"/>
    <w:rsid w:val="491F1E3E"/>
    <w:rsid w:val="497E4D40"/>
    <w:rsid w:val="498502AC"/>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381A4A"/>
    <w:rsid w:val="584101D8"/>
    <w:rsid w:val="584366A5"/>
    <w:rsid w:val="58464AEC"/>
    <w:rsid w:val="58D37D03"/>
    <w:rsid w:val="58F80B81"/>
    <w:rsid w:val="59171D29"/>
    <w:rsid w:val="594B64BC"/>
    <w:rsid w:val="59C1394B"/>
    <w:rsid w:val="59E4333B"/>
    <w:rsid w:val="5A327175"/>
    <w:rsid w:val="5A461F67"/>
    <w:rsid w:val="5A4D12DB"/>
    <w:rsid w:val="5A735AF1"/>
    <w:rsid w:val="5AA95942"/>
    <w:rsid w:val="5B9A1A90"/>
    <w:rsid w:val="5BEA616D"/>
    <w:rsid w:val="5C620610"/>
    <w:rsid w:val="5C7C27CC"/>
    <w:rsid w:val="5C840D54"/>
    <w:rsid w:val="5C8E6646"/>
    <w:rsid w:val="5CA1473C"/>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3B16DA6"/>
    <w:rsid w:val="63E11F6B"/>
    <w:rsid w:val="64325BAA"/>
    <w:rsid w:val="6474563E"/>
    <w:rsid w:val="64DD2E2F"/>
    <w:rsid w:val="650C79CC"/>
    <w:rsid w:val="651F0B40"/>
    <w:rsid w:val="654A3BA1"/>
    <w:rsid w:val="65720792"/>
    <w:rsid w:val="65727ED4"/>
    <w:rsid w:val="658D11B9"/>
    <w:rsid w:val="65A15618"/>
    <w:rsid w:val="65BE71FB"/>
    <w:rsid w:val="65F94B59"/>
    <w:rsid w:val="660467A7"/>
    <w:rsid w:val="66471D7C"/>
    <w:rsid w:val="667D6EFB"/>
    <w:rsid w:val="66FD7813"/>
    <w:rsid w:val="67825ED9"/>
    <w:rsid w:val="67A0385B"/>
    <w:rsid w:val="67B37940"/>
    <w:rsid w:val="686C2A53"/>
    <w:rsid w:val="689C4BB9"/>
    <w:rsid w:val="68A245E2"/>
    <w:rsid w:val="68B0544A"/>
    <w:rsid w:val="690F3CAF"/>
    <w:rsid w:val="69262B12"/>
    <w:rsid w:val="6A0C28CE"/>
    <w:rsid w:val="6A650A4D"/>
    <w:rsid w:val="6AAF4B97"/>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5776CC4"/>
    <w:rsid w:val="764C7835"/>
    <w:rsid w:val="76606237"/>
    <w:rsid w:val="76BC0040"/>
    <w:rsid w:val="76E97240"/>
    <w:rsid w:val="77547F95"/>
    <w:rsid w:val="77581BDC"/>
    <w:rsid w:val="77850FA2"/>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473E36"/>
    <w:rsid w:val="7E54076D"/>
    <w:rsid w:val="7E836D97"/>
    <w:rsid w:val="7E8E73EF"/>
    <w:rsid w:val="7EF23A7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1882</Words>
  <Characters>1942</Characters>
  <Lines>16</Lines>
  <Paragraphs>4</Paragraphs>
  <TotalTime>1</TotalTime>
  <ScaleCrop>false</ScaleCrop>
  <LinksUpToDate>false</LinksUpToDate>
  <CharactersWithSpaces>1947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JELENA</cp:lastModifiedBy>
  <cp:lastPrinted>2023-08-10T09:16:00Z</cp:lastPrinted>
  <dcterms:modified xsi:type="dcterms:W3CDTF">2025-08-20T01:57:17Z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AB7591BFC5D24C46A14632190904F4A8</vt:lpwstr>
  </property>
</Properties>
</file>