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方正仿宋_GBK" w:cs="方正仿宋_GBK"/>
          <w:color w:val="auto"/>
          <w:sz w:val="32"/>
          <w:szCs w:val="32"/>
        </w:rPr>
      </w:pPr>
    </w:p>
    <w:p>
      <w:pPr>
        <w:spacing w:line="600" w:lineRule="exact"/>
        <w:jc w:val="center"/>
        <w:rPr>
          <w:rFonts w:ascii="宋体" w:hAnsi="宋体" w:eastAsia="方正仿宋_GBK" w:cs="方正仿宋_GBK"/>
          <w:color w:val="auto"/>
          <w:sz w:val="32"/>
          <w:szCs w:val="32"/>
        </w:rPr>
      </w:pPr>
      <w:r>
        <w:rPr>
          <w:rFonts w:ascii="宋体" w:hAnsi="宋体" w:eastAsia="方正仿宋_GBK" w:cs="方正仿宋_GBK"/>
          <w:color w:val="auto"/>
          <w:sz w:val="32"/>
          <w:szCs w:val="32"/>
        </w:rPr>
        <w:t xml:space="preserve">  </w:t>
      </w:r>
    </w:p>
    <w:p>
      <w:pPr>
        <w:spacing w:line="600" w:lineRule="exact"/>
        <w:jc w:val="center"/>
        <w:rPr>
          <w:rFonts w:ascii="宋体" w:hAnsi="宋体" w:eastAsia="方正小标宋_GBK"/>
          <w:color w:val="auto"/>
          <w:spacing w:val="6"/>
          <w:w w:val="104"/>
          <w:sz w:val="44"/>
          <w:szCs w:val="44"/>
        </w:rPr>
      </w:pPr>
      <w:r>
        <w:rPr>
          <w:rFonts w:hint="eastAsia" w:ascii="宋体" w:hAnsi="宋体" w:eastAsia="方正小标宋_GBK"/>
          <w:color w:val="auto"/>
          <w:spacing w:val="6"/>
          <w:w w:val="104"/>
          <w:sz w:val="44"/>
          <w:szCs w:val="44"/>
        </w:rPr>
        <w:t>重庆市</w:t>
      </w:r>
      <w:r>
        <w:rPr>
          <w:rFonts w:ascii="宋体" w:hAnsi="宋体" w:eastAsia="方正小标宋_GBK"/>
          <w:color w:val="auto"/>
          <w:spacing w:val="6"/>
          <w:w w:val="104"/>
          <w:sz w:val="44"/>
          <w:szCs w:val="44"/>
        </w:rPr>
        <w:t>江津区发展和改革委员会</w:t>
      </w:r>
    </w:p>
    <w:p>
      <w:pPr>
        <w:spacing w:line="600" w:lineRule="exact"/>
        <w:jc w:val="center"/>
        <w:rPr>
          <w:rFonts w:hint="eastAsia" w:ascii="宋体" w:hAnsi="宋体" w:eastAsia="方正小标宋_GBK"/>
          <w:color w:val="auto"/>
          <w:spacing w:val="6"/>
          <w:w w:val="99"/>
          <w:sz w:val="44"/>
          <w:szCs w:val="44"/>
        </w:rPr>
      </w:pPr>
      <w:r>
        <w:rPr>
          <w:rFonts w:hint="eastAsia" w:ascii="宋体" w:hAnsi="宋体" w:eastAsia="方正小标宋_GBK"/>
          <w:color w:val="auto"/>
          <w:spacing w:val="6"/>
          <w:w w:val="99"/>
          <w:sz w:val="44"/>
          <w:szCs w:val="44"/>
        </w:rPr>
        <w:t>重庆市江津区经济和信息化委员会</w:t>
      </w:r>
    </w:p>
    <w:p>
      <w:pPr>
        <w:adjustRightInd w:val="0"/>
        <w:snapToGrid w:val="0"/>
        <w:spacing w:line="600" w:lineRule="exact"/>
        <w:jc w:val="center"/>
        <w:rPr>
          <w:rFonts w:hint="eastAsia" w:ascii="宋体" w:hAnsi="宋体" w:eastAsia="方正小标宋_GBK"/>
          <w:color w:val="auto"/>
          <w:sz w:val="44"/>
          <w:szCs w:val="44"/>
        </w:rPr>
      </w:pPr>
      <w:r>
        <w:rPr>
          <w:rFonts w:hint="eastAsia" w:ascii="宋体" w:hAnsi="宋体" w:eastAsia="方正小标宋_GBK"/>
          <w:color w:val="auto"/>
          <w:spacing w:val="-20"/>
          <w:sz w:val="44"/>
          <w:szCs w:val="44"/>
        </w:rPr>
        <w:t>关于进一步规范江津区居民</w:t>
      </w:r>
      <w:r>
        <w:rPr>
          <w:rFonts w:hint="eastAsia" w:ascii="宋体" w:hAnsi="宋体" w:eastAsia="方正小标宋_GBK"/>
          <w:color w:val="auto"/>
          <w:sz w:val="44"/>
          <w:szCs w:val="44"/>
        </w:rPr>
        <w:t>燃气</w:t>
      </w:r>
      <w:bookmarkStart w:id="0" w:name="_GoBack"/>
      <w:bookmarkEnd w:id="0"/>
      <w:r>
        <w:rPr>
          <w:rFonts w:hint="eastAsia" w:ascii="宋体" w:hAnsi="宋体" w:eastAsia="方正小标宋_GBK"/>
          <w:color w:val="auto"/>
          <w:sz w:val="44"/>
          <w:szCs w:val="44"/>
        </w:rPr>
        <w:t>工程安装收费</w:t>
      </w:r>
    </w:p>
    <w:p>
      <w:pPr>
        <w:adjustRightInd w:val="0"/>
        <w:snapToGrid w:val="0"/>
        <w:spacing w:line="600" w:lineRule="exact"/>
        <w:jc w:val="center"/>
        <w:rPr>
          <w:rFonts w:hint="eastAsia" w:ascii="宋体" w:hAnsi="宋体" w:eastAsia="方正小标宋_GBK"/>
          <w:color w:val="auto"/>
          <w:sz w:val="44"/>
          <w:szCs w:val="44"/>
        </w:rPr>
      </w:pPr>
      <w:r>
        <w:rPr>
          <w:rFonts w:hint="eastAsia" w:ascii="宋体" w:hAnsi="宋体" w:eastAsia="方正小标宋_GBK"/>
          <w:color w:val="auto"/>
          <w:sz w:val="44"/>
          <w:szCs w:val="44"/>
        </w:rPr>
        <w:t>有关问题的通知</w:t>
      </w:r>
    </w:p>
    <w:p>
      <w:pPr>
        <w:widowControl/>
        <w:spacing w:line="540" w:lineRule="exact"/>
        <w:jc w:val="center"/>
        <w:rPr>
          <w:rFonts w:ascii="宋体" w:hAnsi="宋体" w:eastAsia="方正仿宋_GBK" w:cs="Times New Roman"/>
          <w:color w:val="auto"/>
          <w:sz w:val="44"/>
          <w:szCs w:val="44"/>
          <w:shd w:val="clear" w:color="auto" w:fill="FFFFFF"/>
        </w:rPr>
      </w:pPr>
      <w:r>
        <w:rPr>
          <w:rFonts w:hint="eastAsia" w:ascii="宋体" w:hAnsi="宋体" w:eastAsia="方正仿宋_GBK" w:cs="Times New Roman"/>
          <w:color w:val="auto"/>
          <w:kern w:val="32"/>
          <w:sz w:val="32"/>
          <w:szCs w:val="32"/>
        </w:rPr>
        <w:t>津发改规范〔</w:t>
      </w:r>
      <w:r>
        <w:rPr>
          <w:rFonts w:ascii="宋体" w:hAnsi="宋体" w:eastAsia="方正仿宋_GBK" w:cs="Times New Roman"/>
          <w:color w:val="auto"/>
          <w:kern w:val="32"/>
          <w:sz w:val="32"/>
          <w:szCs w:val="32"/>
        </w:rPr>
        <w:t>202</w:t>
      </w:r>
      <w:r>
        <w:rPr>
          <w:rFonts w:hint="eastAsia" w:ascii="宋体" w:hAnsi="宋体" w:eastAsia="方正仿宋_GBK" w:cs="Times New Roman"/>
          <w:color w:val="auto"/>
          <w:kern w:val="32"/>
          <w:sz w:val="32"/>
          <w:szCs w:val="32"/>
          <w:lang w:val="en-US" w:eastAsia="zh-CN"/>
        </w:rPr>
        <w:t>3</w:t>
      </w:r>
      <w:r>
        <w:rPr>
          <w:rFonts w:hint="eastAsia" w:ascii="宋体" w:hAnsi="宋体" w:eastAsia="方正仿宋_GBK" w:cs="Times New Roman"/>
          <w:color w:val="auto"/>
          <w:kern w:val="32"/>
          <w:sz w:val="32"/>
          <w:szCs w:val="32"/>
        </w:rPr>
        <w:t>〕</w:t>
      </w:r>
      <w:r>
        <w:rPr>
          <w:rFonts w:ascii="宋体" w:hAnsi="宋体" w:eastAsia="方正仿宋_GBK" w:cs="Times New Roman"/>
          <w:color w:val="auto"/>
          <w:kern w:val="32"/>
          <w:sz w:val="32"/>
          <w:szCs w:val="32"/>
        </w:rPr>
        <w:t>1</w:t>
      </w:r>
      <w:r>
        <w:rPr>
          <w:rFonts w:hint="eastAsia" w:ascii="宋体" w:hAnsi="宋体" w:eastAsia="方正仿宋_GBK" w:cs="Times New Roman"/>
          <w:color w:val="auto"/>
          <w:kern w:val="32"/>
          <w:sz w:val="32"/>
          <w:szCs w:val="32"/>
        </w:rPr>
        <w:t>号</w:t>
      </w:r>
    </w:p>
    <w:p>
      <w:pPr>
        <w:spacing w:line="600" w:lineRule="exact"/>
        <w:jc w:val="center"/>
        <w:rPr>
          <w:rFonts w:ascii="宋体" w:eastAsia="宋体" w:cs="宋体"/>
          <w:color w:val="auto"/>
          <w:sz w:val="44"/>
          <w:szCs w:val="44"/>
          <w:shd w:val="clear" w:color="auto" w:fill="FFFFFF"/>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仿宋_GBK" w:hAnsi="方正仿宋_GBK" w:eastAsia="方正仿宋_GBK" w:cs="方正仿宋_GBK"/>
          <w:bCs/>
          <w:color w:val="auto"/>
          <w:kern w:val="32"/>
          <w:sz w:val="32"/>
          <w:szCs w:val="32"/>
          <w:lang w:bidi="ar-SA"/>
        </w:rPr>
      </w:pPr>
      <w:r>
        <w:rPr>
          <w:rFonts w:hint="eastAsia" w:ascii="方正仿宋_GBK" w:hAnsi="方正仿宋_GBK" w:eastAsia="方正仿宋_GBK" w:cs="方正仿宋_GBK"/>
          <w:color w:val="auto"/>
          <w:sz w:val="32"/>
          <w:szCs w:val="32"/>
          <w:lang w:bidi="ar-SA"/>
        </w:rPr>
        <w:t>各镇人民政府、街道办事处、相关燃气工程安装企业：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为进一步规范我区燃气工程安装行为，加强燃气工程安装收费管理，在充分调研的基础上，结合江津实际</w:t>
      </w:r>
      <w:r>
        <w:rPr>
          <w:rFonts w:hint="eastAsia" w:ascii="方正仿宋_GBK" w:hAnsi="方正仿宋_GBK" w:eastAsia="方正仿宋_GBK" w:cs="方正仿宋_GBK"/>
          <w:color w:val="auto"/>
          <w:sz w:val="32"/>
          <w:szCs w:val="32"/>
          <w:lang w:bidi="ar-SA"/>
        </w:rPr>
        <w:t>，就我区居民燃气工程安装收费标准及有关事项通知如下：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z w:val="32"/>
          <w:szCs w:val="32"/>
          <w:lang w:bidi="ar-SA"/>
        </w:rPr>
      </w:pPr>
      <w:r>
        <w:rPr>
          <w:rFonts w:hint="eastAsia" w:ascii="方正黑体_GBK" w:hAnsi="方正黑体_GBK" w:eastAsia="方正黑体_GBK" w:cs="方正黑体_GBK"/>
          <w:color w:val="auto"/>
          <w:sz w:val="32"/>
          <w:szCs w:val="32"/>
          <w:lang w:bidi="ar-SA"/>
        </w:rPr>
        <w:t>一、</w:t>
      </w:r>
      <w:r>
        <w:rPr>
          <w:rFonts w:hint="eastAsia" w:ascii="方正黑体_GBK" w:hAnsi="方正黑体_GBK" w:eastAsia="方正黑体_GBK" w:cs="方正黑体_GBK"/>
          <w:color w:val="auto"/>
          <w:sz w:val="32"/>
          <w:szCs w:val="32"/>
        </w:rPr>
        <w:t>收费范围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城镇居民燃气工程安装收费是指为保障用户通气，相关企业提供住宅建筑区划红线内（不含燃气表后的延伸服务）燃气工程勘察、设计、施工、监理、验收等服务而收取的与工程建设相关的服务费和材料费等费用。燃气工程安装收费范围仅限于住宅建筑区划红线内产权属于用户的资产（不含燃气表后的延伸服务），不得向红线外延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农村居民燃气工程安装收费是指为保障农村用户通气，相关企业提供从自然村居民聚集处的集中供气点至燃气用户室内燃具前燃气工程勘察、设计、施工、监理、验收等服务而收取的与工程建设相关的服务费和材料费等费用。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z w:val="32"/>
          <w:szCs w:val="32"/>
          <w:lang w:bidi="ar-SA"/>
        </w:rPr>
      </w:pPr>
      <w:r>
        <w:rPr>
          <w:rFonts w:hint="eastAsia" w:ascii="方正黑体_GBK" w:hAnsi="方正黑体_GBK" w:eastAsia="方正黑体_GBK" w:cs="方正黑体_GBK"/>
          <w:color w:val="auto"/>
          <w:sz w:val="32"/>
          <w:szCs w:val="32"/>
          <w:lang w:bidi="ar-SA"/>
        </w:rPr>
        <w:t>二、收费标准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bidi="ar-SA"/>
        </w:rPr>
        <w:t>（一）</w:t>
      </w:r>
      <w:r>
        <w:rPr>
          <w:rFonts w:hint="eastAsia" w:ascii="方正仿宋_GBK" w:hAnsi="方正仿宋_GBK" w:eastAsia="方正仿宋_GBK" w:cs="方正仿宋_GBK"/>
          <w:color w:val="auto"/>
          <w:kern w:val="0"/>
          <w:sz w:val="32"/>
          <w:szCs w:val="32"/>
          <w:lang w:bidi="ar-SA"/>
        </w:rPr>
        <w:t>各镇街城镇规划区范围内居民</w:t>
      </w:r>
      <w:r>
        <w:rPr>
          <w:rFonts w:hint="eastAsia" w:ascii="方正仿宋_GBK" w:hAnsi="方正仿宋_GBK" w:eastAsia="方正仿宋_GBK" w:cs="方正仿宋_GBK"/>
          <w:color w:val="auto"/>
          <w:sz w:val="32"/>
          <w:szCs w:val="32"/>
          <w:lang w:bidi="ar-SA"/>
        </w:rPr>
        <w:t>燃气工程</w:t>
      </w:r>
      <w:r>
        <w:rPr>
          <w:rFonts w:hint="eastAsia" w:ascii="方正仿宋_GBK" w:hAnsi="方正仿宋_GBK" w:eastAsia="方正仿宋_GBK" w:cs="方正仿宋_GBK"/>
          <w:color w:val="auto"/>
          <w:kern w:val="0"/>
          <w:sz w:val="32"/>
          <w:szCs w:val="32"/>
          <w:lang w:bidi="ar-SA"/>
        </w:rPr>
        <w:t>安装收费实行包干到户价</w:t>
      </w:r>
      <w:r>
        <w:rPr>
          <w:rFonts w:hint="eastAsia" w:ascii="方正仿宋_GBK" w:hAnsi="方正仿宋_GBK" w:eastAsia="方正仿宋_GBK" w:cs="方正仿宋_GBK"/>
          <w:color w:val="auto"/>
          <w:sz w:val="32"/>
          <w:szCs w:val="32"/>
          <w:lang w:bidi="ar-SA"/>
        </w:rPr>
        <w:t>，收费标准由用户与燃气工程安装企业在以下范围内协商确定。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bidi="ar-SA"/>
        </w:rPr>
        <w:t>1．几江街道、鼎山街道、圣泉街道、德感街道、双福街道及白沙镇、珞璜镇城镇规划区范围内居民燃气工程安装收费标准：采用G2.5远传燃气表，收费标准不高于2450元/户；采用普通燃气表，收费标准不高于2250元/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bidi="ar-SA"/>
        </w:rPr>
        <w:t>2．支坪镇、石蟆镇、李市镇、油溪镇、先锋镇、西湖镇、石门镇、永兴镇、龙华镇、吴滩镇、贾嗣镇、杜市镇、朱杨镇、慈云镇、夏坝镇、广兴镇、塘河镇城镇规划区范围内居民</w:t>
      </w:r>
      <w:r>
        <w:rPr>
          <w:rFonts w:hint="eastAsia" w:ascii="方正仿宋_GBK" w:hAnsi="方正仿宋_GBK" w:eastAsia="方正仿宋_GBK" w:cs="方正仿宋_GBK"/>
          <w:color w:val="auto"/>
          <w:sz w:val="32"/>
          <w:szCs w:val="32"/>
          <w:lang w:bidi="ar-SA"/>
        </w:rPr>
        <w:t>燃气工程</w:t>
      </w:r>
      <w:r>
        <w:rPr>
          <w:rFonts w:hint="eastAsia" w:ascii="方正仿宋_GBK" w:hAnsi="方正仿宋_GBK" w:eastAsia="方正仿宋_GBK" w:cs="方正仿宋_GBK"/>
          <w:color w:val="auto"/>
          <w:kern w:val="0"/>
          <w:sz w:val="32"/>
          <w:szCs w:val="32"/>
          <w:lang w:bidi="ar-SA"/>
        </w:rPr>
        <w:t>安装收费</w:t>
      </w:r>
      <w:r>
        <w:rPr>
          <w:rFonts w:hint="eastAsia" w:ascii="方正仿宋_GBK" w:hAnsi="方正仿宋_GBK" w:eastAsia="方正仿宋_GBK" w:cs="方正仿宋_GBK"/>
          <w:color w:val="auto"/>
          <w:sz w:val="32"/>
          <w:szCs w:val="32"/>
          <w:lang w:bidi="ar-SA"/>
        </w:rPr>
        <w:t>标准</w:t>
      </w:r>
      <w:r>
        <w:rPr>
          <w:rFonts w:hint="eastAsia" w:ascii="方正仿宋_GBK" w:hAnsi="方正仿宋_GBK" w:eastAsia="方正仿宋_GBK" w:cs="方正仿宋_GBK"/>
          <w:color w:val="auto"/>
          <w:kern w:val="0"/>
          <w:sz w:val="32"/>
          <w:szCs w:val="32"/>
          <w:lang w:bidi="ar-SA"/>
        </w:rPr>
        <w:t>：采用G2.5远传燃气表，收费标准不高于3300元/户；采用普通燃气表，收费标准不高于3100元/户。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bidi="ar-SA"/>
        </w:rPr>
        <w:t>3．蔡家镇、柏林镇、中山镇、嘉平镇、四面山镇、四屏镇城镇规划区范围内居民燃气工程安装收费标准：采用G2.5远传燃气表，收费标准不高于3800元/户；采用普通燃气表，收费标准不高于3600元/户。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kern w:val="0"/>
          <w:sz w:val="32"/>
          <w:szCs w:val="32"/>
          <w:lang w:bidi="ar-SA"/>
        </w:rPr>
        <w:t>（二）建制镇（街）城镇规划区以外撤并的原乡镇政府所在地场镇居民用户以及经区政府批准建设的新村居民点(含集中搬</w:t>
      </w:r>
      <w:r>
        <w:rPr>
          <w:rFonts w:hint="eastAsia" w:ascii="方正仿宋_GBK" w:hAnsi="方正仿宋_GBK" w:eastAsia="方正仿宋_GBK" w:cs="方正仿宋_GBK"/>
          <w:color w:val="auto"/>
          <w:sz w:val="32"/>
          <w:szCs w:val="32"/>
          <w:shd w:val="clear" w:color="auto" w:fill="FFFFFF"/>
          <w:lang w:bidi="ar-SA"/>
        </w:rPr>
        <w:t>迁安置点</w:t>
      </w:r>
      <w:r>
        <w:rPr>
          <w:rFonts w:hint="eastAsia" w:ascii="方正仿宋_GBK" w:hAnsi="方正仿宋_GBK" w:eastAsia="方正仿宋_GBK" w:cs="方正仿宋_GBK"/>
          <w:color w:val="auto"/>
          <w:kern w:val="0"/>
          <w:sz w:val="32"/>
          <w:szCs w:val="32"/>
          <w:lang w:bidi="ar-SA"/>
        </w:rPr>
        <w:t>)居民用户</w:t>
      </w:r>
      <w:r>
        <w:rPr>
          <w:rFonts w:hint="eastAsia" w:ascii="方正仿宋_GBK" w:hAnsi="方正仿宋_GBK" w:eastAsia="方正仿宋_GBK" w:cs="方正仿宋_GBK"/>
          <w:color w:val="auto"/>
          <w:sz w:val="32"/>
          <w:szCs w:val="32"/>
          <w:lang w:bidi="ar-SA"/>
        </w:rPr>
        <w:t>燃气工程</w:t>
      </w:r>
      <w:r>
        <w:rPr>
          <w:rFonts w:hint="eastAsia" w:ascii="方正仿宋_GBK" w:hAnsi="方正仿宋_GBK" w:eastAsia="方正仿宋_GBK" w:cs="方正仿宋_GBK"/>
          <w:color w:val="auto"/>
          <w:kern w:val="0"/>
          <w:sz w:val="32"/>
          <w:szCs w:val="32"/>
          <w:lang w:bidi="ar-SA"/>
        </w:rPr>
        <w:t>安装实行包干收费，</w:t>
      </w:r>
      <w:r>
        <w:rPr>
          <w:rFonts w:hint="eastAsia" w:ascii="方正仿宋_GBK" w:hAnsi="方正仿宋_GBK" w:eastAsia="方正仿宋_GBK" w:cs="方正仿宋_GBK"/>
          <w:color w:val="auto"/>
          <w:sz w:val="32"/>
          <w:szCs w:val="32"/>
          <w:lang w:bidi="ar-SA"/>
        </w:rPr>
        <w:t>在所在建制镇（街）城镇规划区安装收费标准的基础上，增加的费用最</w:t>
      </w:r>
      <w:r>
        <w:rPr>
          <w:rFonts w:hint="eastAsia" w:ascii="方正仿宋_GBK" w:hAnsi="方正仿宋_GBK" w:eastAsia="方正仿宋_GBK" w:cs="方正仿宋_GBK"/>
          <w:color w:val="auto"/>
          <w:kern w:val="0"/>
          <w:sz w:val="32"/>
          <w:szCs w:val="32"/>
          <w:lang w:bidi="ar-SA"/>
        </w:rPr>
        <w:t>高不超过所在建制镇（街）城镇规划区收费标准的10%。</w:t>
      </w:r>
    </w:p>
    <w:p>
      <w:pPr>
        <w:keepNext w:val="0"/>
        <w:keepLines w:val="0"/>
        <w:pageBreakBefore w:val="0"/>
        <w:widowControl w:val="0"/>
        <w:tabs>
          <w:tab w:val="left" w:pos="0"/>
        </w:tabs>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bidi="ar-SA"/>
        </w:rPr>
        <w:t>（三）其余延伸至村的居民燃气工程安装（含燃气表后的延伸服务），燃气工程安装企业要</w:t>
      </w:r>
      <w:r>
        <w:rPr>
          <w:rFonts w:hint="eastAsia" w:ascii="方正仿宋_GBK" w:hAnsi="方正仿宋_GBK" w:eastAsia="方正仿宋_GBK" w:cs="方正仿宋_GBK"/>
          <w:color w:val="auto"/>
          <w:sz w:val="32"/>
          <w:szCs w:val="32"/>
        </w:rPr>
        <w:t>及时协商属地镇人民政府（街道办事处）全程参与监督实施并取得书面支持意见后，与村（居）民委员会进行充分沟通，其收费</w:t>
      </w:r>
      <w:r>
        <w:rPr>
          <w:rFonts w:hint="eastAsia" w:ascii="方正仿宋_GBK" w:hAnsi="方正仿宋_GBK" w:eastAsia="方正仿宋_GBK" w:cs="方正仿宋_GBK"/>
          <w:color w:val="auto"/>
          <w:kern w:val="0"/>
          <w:sz w:val="32"/>
          <w:szCs w:val="32"/>
          <w:lang w:bidi="ar-SA"/>
        </w:rPr>
        <w:t>由燃气工程安装企业在合理成本利润率基础上，按定额规定据实测算并公示，具体收费标准由村（居）民委员会召集辖区内村民代表、安装用户和燃气工程安装企业协商确定</w:t>
      </w:r>
      <w:r>
        <w:rPr>
          <w:rFonts w:hint="eastAsia" w:ascii="方正仿宋_GBK" w:hAnsi="方正仿宋_GBK" w:eastAsia="方正仿宋_GBK" w:cs="方正仿宋_GBK"/>
          <w:color w:val="auto"/>
          <w:sz w:val="32"/>
          <w:szCs w:val="32"/>
        </w:rPr>
        <w:t>，双方达成一致意见后签订安装服务合同，安装用户缴纳费用后组织实施安装。</w:t>
      </w:r>
      <w:r>
        <w:rPr>
          <w:rFonts w:hint="eastAsia" w:ascii="方正仿宋_GBK" w:hAnsi="方正仿宋_GBK" w:eastAsia="方正仿宋_GBK" w:cs="方正仿宋_GBK"/>
          <w:color w:val="auto"/>
          <w:kern w:val="0"/>
          <w:sz w:val="32"/>
          <w:szCs w:val="32"/>
          <w:lang w:bidi="ar-SA"/>
        </w:rPr>
        <w:t>燃气工程安装企业于安装服务合同签订后3个月内</w:t>
      </w:r>
      <w:r>
        <w:rPr>
          <w:rFonts w:hint="eastAsia" w:ascii="方正仿宋_GBK" w:hAnsi="方正仿宋_GBK" w:eastAsia="方正仿宋_GBK" w:cs="方正仿宋_GBK"/>
          <w:color w:val="auto"/>
          <w:sz w:val="32"/>
          <w:szCs w:val="32"/>
        </w:rPr>
        <w:t>将安装服务合同及镇人民政府（街道办事处）支持意见报送区发展改革委和区经济信息委。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bidi="ar-SA"/>
        </w:rPr>
        <w:t>（四）有以下情况之一的，具体收费标准由燃气工程安装企业在合理成本利润率基础上与用户协商确定。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bidi="ar-SA"/>
        </w:rPr>
        <w:t>1. 城镇规划区范围内居民自建房。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bidi="ar-SA"/>
        </w:rPr>
        <w:t>2. 别墅、建筑高度大于100米的超高层建筑，同一建筑内单层层高超过3米的部分住宅。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bidi="ar-SA"/>
        </w:rPr>
        <w:t>3. 因采暖增大供气管径及计表具型号的。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bidi="ar-SA"/>
        </w:rPr>
      </w:pPr>
      <w:r>
        <w:rPr>
          <w:rFonts w:hint="eastAsia" w:ascii="方正仿宋_GBK" w:hAnsi="方正仿宋_GBK" w:eastAsia="方正仿宋_GBK" w:cs="方正仿宋_GBK"/>
          <w:color w:val="auto"/>
          <w:kern w:val="0"/>
          <w:sz w:val="32"/>
          <w:szCs w:val="32"/>
          <w:lang w:bidi="ar-SA"/>
        </w:rPr>
        <w:t>鼓励推广使用安全、节能、高效、环保的天然气新材料、新技术、新工艺和新产品。鼓励天然气行业通过推广使用智能化技术和设施设备，提升天然气行业安全管理和服务水平。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z w:val="32"/>
          <w:szCs w:val="32"/>
          <w:lang w:bidi="ar-SA"/>
        </w:rPr>
      </w:pPr>
      <w:r>
        <w:rPr>
          <w:rFonts w:hint="eastAsia" w:ascii="方正黑体_GBK" w:hAnsi="方正黑体_GBK" w:eastAsia="方正黑体_GBK" w:cs="方正黑体_GBK"/>
          <w:color w:val="auto"/>
          <w:sz w:val="32"/>
          <w:szCs w:val="32"/>
          <w:lang w:bidi="ar-SA"/>
        </w:rPr>
        <w:t>三、其他要求</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bidi="ar-SA"/>
        </w:rPr>
        <w:t>（一）各镇（街）城镇规划区范围由所在镇人民政府（街道办事处）按规划确认。</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bidi="ar-SA"/>
        </w:rPr>
        <w:t>（二）行业主管部门、价格主管部门和市场监管部门要强化监管，加强成本调查，督促燃气工程安装企业遵循公平合法、诚实信用的原则，合理确定收费标准，不得有价格欺诈、价格串通、牟取暴利等不正当价格行为。</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bidi="ar-SA"/>
        </w:rPr>
        <w:t>（三）各</w:t>
      </w:r>
      <w:r>
        <w:rPr>
          <w:rFonts w:hint="eastAsia" w:ascii="方正仿宋_GBK" w:hAnsi="方正仿宋_GBK" w:eastAsia="方正仿宋_GBK" w:cs="方正仿宋_GBK"/>
          <w:bCs/>
          <w:color w:val="auto"/>
          <w:kern w:val="32"/>
          <w:sz w:val="32"/>
          <w:szCs w:val="32"/>
          <w:lang w:bidi="ar-SA"/>
        </w:rPr>
        <w:t>燃气工程安装</w:t>
      </w:r>
      <w:r>
        <w:rPr>
          <w:rFonts w:hint="eastAsia" w:ascii="方正仿宋_GBK" w:hAnsi="方正仿宋_GBK" w:eastAsia="方正仿宋_GBK" w:cs="方正仿宋_GBK"/>
          <w:color w:val="auto"/>
          <w:sz w:val="32"/>
          <w:szCs w:val="32"/>
          <w:lang w:bidi="ar-SA"/>
        </w:rPr>
        <w:t>企业要切实提高思想认识，强化责任担当，做好政策宣传解释工作，严格执行《重庆市发展和改革委员会关于清理取消城镇供水供电供气行业不合理收费的通知》（渝发改价格〔2021〕228号）相关规定，</w:t>
      </w:r>
      <w:r>
        <w:rPr>
          <w:rFonts w:hint="eastAsia" w:ascii="方正仿宋_GBK" w:hAnsi="方正仿宋_GBK" w:eastAsia="方正仿宋_GBK" w:cs="方正仿宋_GBK"/>
          <w:color w:val="auto"/>
          <w:sz w:val="32"/>
          <w:szCs w:val="32"/>
        </w:rPr>
        <w:t>国家及重庆市已明令取消的收费项目或类似名目不得再收费。</w:t>
      </w:r>
      <w:r>
        <w:rPr>
          <w:rFonts w:hint="eastAsia" w:ascii="方正仿宋_GBK" w:hAnsi="方正仿宋_GBK" w:eastAsia="方正仿宋_GBK" w:cs="方正仿宋_GBK"/>
          <w:color w:val="auto"/>
          <w:sz w:val="32"/>
          <w:szCs w:val="32"/>
          <w:lang w:bidi="ar-SA"/>
        </w:rPr>
        <w:t>违反价格法律、法规和规定，将依据《中华人民共和国价格法》和《价格违法行为行政处罚规定》严肃查处。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sz w:val="32"/>
          <w:szCs w:val="32"/>
          <w:lang w:bidi="ar-SA"/>
        </w:rPr>
        <w:t>（四）</w:t>
      </w:r>
      <w:r>
        <w:rPr>
          <w:rFonts w:hint="eastAsia" w:ascii="方正仿宋_GBK" w:hAnsi="方正仿宋_GBK" w:eastAsia="方正仿宋_GBK" w:cs="方正仿宋_GBK"/>
          <w:color w:val="auto"/>
          <w:kern w:val="0"/>
          <w:sz w:val="32"/>
          <w:szCs w:val="32"/>
        </w:rPr>
        <w:t>本通知自</w:t>
      </w:r>
      <w:r>
        <w:rPr>
          <w:rFonts w:hint="eastAsia" w:ascii="方正仿宋_GBK" w:hAnsi="方正仿宋_GBK" w:eastAsia="方正仿宋_GBK" w:cs="方正仿宋_GBK"/>
          <w:color w:val="auto"/>
          <w:kern w:val="0"/>
          <w:sz w:val="32"/>
          <w:szCs w:val="32"/>
          <w:lang w:bidi="ar-SA"/>
        </w:rPr>
        <w:t>2024年1月1日</w:t>
      </w:r>
      <w:r>
        <w:rPr>
          <w:rFonts w:hint="eastAsia" w:ascii="方正仿宋_GBK" w:hAnsi="方正仿宋_GBK" w:eastAsia="方正仿宋_GBK" w:cs="方正仿宋_GBK"/>
          <w:color w:val="auto"/>
          <w:kern w:val="0"/>
          <w:sz w:val="32"/>
          <w:szCs w:val="32"/>
        </w:rPr>
        <w:t>起执行。原《重庆市江津区发展和改革委员会重庆市江津区经济和信息化委员会关于明确江津区居民燃气工程安装收费有关问题的通知》（津发改委〔2021〕10号）《重庆市江津区发展和改革委员会关于〈关于明确江津区居民燃气工程安装收费有关问题的通知〉的补充通知》（津发改委〔2021〕66号）《重庆市江津区发展和改革委员会关于进一步明确江津区居民燃气工程安装收费有关问题的补充通知》（</w:t>
      </w:r>
      <w:r>
        <w:rPr>
          <w:rFonts w:hint="eastAsia" w:ascii="方正仿宋_GBK" w:hAnsi="方正仿宋_GBK" w:eastAsia="方正仿宋_GBK" w:cs="方正仿宋_GBK"/>
          <w:color w:val="auto"/>
          <w:sz w:val="32"/>
          <w:szCs w:val="32"/>
        </w:rPr>
        <w:t>津发改委〔2022〕72号</w:t>
      </w:r>
      <w:r>
        <w:rPr>
          <w:rFonts w:hint="eastAsia" w:ascii="方正仿宋_GBK" w:hAnsi="方正仿宋_GBK" w:eastAsia="方正仿宋_GBK" w:cs="方正仿宋_GBK"/>
          <w:color w:val="auto"/>
          <w:kern w:val="0"/>
          <w:sz w:val="32"/>
          <w:szCs w:val="32"/>
        </w:rPr>
        <w:t>）同时废止。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（五）本通知由区发展改革委和区经济信息委负责解释。</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bidi="ar-SA"/>
        </w:rPr>
      </w:pP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Cs/>
          <w:color w:val="auto"/>
          <w:kern w:val="32"/>
          <w:sz w:val="32"/>
          <w:szCs w:val="32"/>
          <w:lang w:bidi="ar-SA"/>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仿宋_GBK" w:hAnsi="方正仿宋_GBK" w:eastAsia="方正仿宋_GBK" w:cs="方正仿宋_GBK"/>
          <w:color w:val="auto"/>
          <w:w w:val="92"/>
          <w:sz w:val="32"/>
          <w:szCs w:val="32"/>
          <w:lang w:bidi="ar-SA"/>
        </w:rPr>
      </w:pPr>
      <w:r>
        <w:rPr>
          <w:rFonts w:hint="eastAsia" w:ascii="方正仿宋_GBK" w:hAnsi="方正仿宋_GBK" w:eastAsia="方正仿宋_GBK" w:cs="方正仿宋_GBK"/>
          <w:color w:val="auto"/>
          <w:w w:val="92"/>
          <w:sz w:val="32"/>
          <w:szCs w:val="32"/>
          <w:lang w:bidi="ar-SA"/>
        </w:rPr>
        <w:t>重庆市江津区发展和改革委员会  重庆市江津区经济和信息化委员会</w:t>
      </w:r>
    </w:p>
    <w:p>
      <w:pPr>
        <w:keepNext w:val="0"/>
        <w:keepLines w:val="0"/>
        <w:pageBreakBefore w:val="0"/>
        <w:widowControl w:val="0"/>
        <w:kinsoku/>
        <w:wordWrap/>
        <w:overflowPunct/>
        <w:topLinePunct w:val="0"/>
        <w:autoSpaceDE/>
        <w:autoSpaceDN/>
        <w:bidi w:val="0"/>
        <w:spacing w:line="600" w:lineRule="exact"/>
        <w:ind w:firstLine="5760" w:firstLineChars="1800"/>
        <w:jc w:val="both"/>
        <w:textAlignment w:val="auto"/>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bidi="ar-SA"/>
        </w:rPr>
        <w:t>2023年12月26日</w:t>
      </w:r>
    </w:p>
    <w:p>
      <w:pPr>
        <w:spacing w:line="600" w:lineRule="exact"/>
        <w:ind w:firstLine="4998" w:firstLineChars="1562"/>
        <w:jc w:val="left"/>
        <w:rPr>
          <w:rFonts w:hint="eastAsia" w:ascii="宋体" w:hAnsi="宋体" w:eastAsia="方正仿宋_GBK" w:cs="方正仿宋_GBK"/>
          <w:color w:val="auto"/>
          <w:kern w:val="0"/>
          <w:sz w:val="32"/>
          <w:szCs w:val="32"/>
          <w:shd w:val="clear" w:color="auto" w:fill="FFFFFF"/>
        </w:rPr>
      </w:pPr>
    </w:p>
    <w:sectPr>
      <w:headerReference r:id="rId3" w:type="default"/>
      <w:footerReference r:id="rId5" w:type="default"/>
      <w:headerReference r:id="rId4" w:type="even"/>
      <w:footerReference r:id="rId6" w:type="even"/>
      <w:pgSz w:w="11907" w:h="16840"/>
      <w:pgMar w:top="1962" w:right="1474" w:bottom="1848" w:left="1588"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szCs w:val="28"/>
      </w:rPr>
    </w:pPr>
  </w:p>
  <w:p>
    <w:pPr>
      <w:pStyle w:val="7"/>
      <w:jc w:val="right"/>
      <w:rPr>
        <w:rFonts w:ascii="宋体" w:eastAsia="宋体" w:cs="宋体"/>
        <w:sz w:val="28"/>
        <w:szCs w:val="28"/>
      </w:rPr>
    </w:pPr>
    <w:r>
      <w:rPr>
        <w:rFonts w:ascii="宋体" w:eastAsia="宋体" w:cs="宋体"/>
        <w:sz w:val="28"/>
        <w:szCs w:val="28"/>
      </w:rPr>
      <w:fldChar w:fldCharType="begin"/>
    </w:r>
    <w:r>
      <w:rPr>
        <w:rFonts w:ascii="宋体" w:eastAsia="宋体" w:cs="宋体"/>
        <w:sz w:val="28"/>
        <w:szCs w:val="28"/>
      </w:rPr>
      <w:instrText xml:space="preserve">Page</w:instrText>
    </w:r>
    <w:r>
      <w:rPr>
        <w:rFonts w:ascii="宋体" w:eastAsia="宋体" w:cs="宋体"/>
        <w:sz w:val="28"/>
        <w:szCs w:val="28"/>
      </w:rPr>
      <w:fldChar w:fldCharType="separate"/>
    </w:r>
    <w:r>
      <w:rPr>
        <w:rFonts w:ascii="宋体" w:eastAsia="宋体" w:cs="宋体"/>
        <w:sz w:val="28"/>
        <w:szCs w:val="28"/>
      </w:rPr>
      <w:t>- 1 -</w:t>
    </w:r>
    <w:r>
      <w:rPr>
        <w:rFonts w:ascii="宋体" w:eastAsia="宋体" w:cs="宋体"/>
        <w:sz w:val="28"/>
        <w:szCs w:val="28"/>
      </w:rPr>
      <w:fldChar w:fldCharType="end"/>
    </w:r>
  </w:p>
  <w:p>
    <w:pPr>
      <w:pStyle w:val="7"/>
      <w:jc w:val="right"/>
      <w:rPr>
        <w:rFonts w:ascii="宋体" w:eastAsia="宋体" w:cs="宋体"/>
        <w:color w:val="005192"/>
        <w:sz w:val="28"/>
        <w:szCs w:val="28"/>
      </w:rPr>
    </w:pPr>
    <w:r>
      <w:rPr>
        <w:rStyle w:val="12"/>
        <w:rFonts w:ascii="宋体"/>
        <w:sz w:val="28"/>
        <w:szCs w:val="28"/>
      </w:rPr>
      <mc:AlternateContent>
        <mc:Choice Requires="wps">
          <w:drawing>
            <wp:anchor distT="0" distB="0" distL="113665" distR="113665" simplePos="0" relativeHeight="251659264" behindDoc="0" locked="0" layoutInCell="1" allowOverlap="1">
              <wp:simplePos x="0" y="0"/>
              <wp:positionH relativeFrom="column">
                <wp:posOffset>8255</wp:posOffset>
              </wp:positionH>
              <wp:positionV relativeFrom="paragraph">
                <wp:posOffset>137160</wp:posOffset>
              </wp:positionV>
              <wp:extent cx="5616575" cy="1905"/>
              <wp:effectExtent l="0" t="0" r="0" b="0"/>
              <wp:wrapNone/>
              <wp:docPr id="11" name="直线 11"/>
              <wp:cNvGraphicFramePr/>
              <a:graphic xmlns:a="http://schemas.openxmlformats.org/drawingml/2006/main">
                <a:graphicData uri="http://schemas.microsoft.com/office/word/2010/wordprocessingShape">
                  <wps:wsp>
                    <wps:cNvCnPr/>
                    <wps:spPr>
                      <a:xfrm>
                        <a:off x="0" y="0"/>
                        <a:ext cx="5616575" cy="1904"/>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11" o:spid="_x0000_s1026" o:spt="20" style="position:absolute;left:0pt;margin-left:0.65pt;margin-top:10.8pt;height:0.15pt;width:442.25pt;z-index:251659264;mso-width-relative:page;mso-height-relative:page;" filled="f" stroked="t" coordsize="21600,21600" o:gfxdata="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3Wq20QAAAAcBAAAPAAAAAAAAAAEA&#10;IAAAACIAAABkcnMvZG93bnJldi54bWxQSwECFAAUAAAACACHTuJA3z/gMxYCAAAjBAAADgAAAAAA&#10;AAABACAAAAAgAQAAZHJzL2Uyb0RvYy54bWxQSwUGAAAAAAYABgBZAQAAqAUAAAAA&#10;">
              <v:fill on="f" focussize="0,0"/>
              <v:stroke weight="1.75pt" color="#005192" joinstyle="round"/>
              <v:imagedata o:title=""/>
              <o:lock v:ext="edit" aspectratio="f"/>
            </v:line>
          </w:pict>
        </mc:Fallback>
      </mc:AlternateContent>
    </w:r>
  </w:p>
  <w:p>
    <w:pPr>
      <w:pStyle w:val="6"/>
      <w:ind w:right="357" w:firstLine="357"/>
      <w:jc w:val="right"/>
      <w:rPr>
        <w:rFonts w:ascii="宋体"/>
        <w:sz w:val="28"/>
        <w:szCs w:val="28"/>
      </w:rPr>
    </w:pPr>
    <w:r>
      <w:rPr>
        <w:rFonts w:ascii="宋体" w:eastAsia="宋体" w:cs="宋体"/>
        <w:b/>
        <w:bCs/>
        <w:color w:val="005192"/>
        <w:sz w:val="28"/>
        <w:szCs w:val="44"/>
      </w:rPr>
      <w:t>重庆市江津区发展和改革委员会</w:t>
    </w:r>
    <w:r>
      <w:rPr>
        <w:rFonts w:hint="eastAsia" w:ascii="宋体" w:eastAsia="宋体" w:cs="宋体"/>
        <w:b/>
        <w:bCs/>
        <w:color w:val="005192"/>
        <w:sz w:val="28"/>
        <w:szCs w:val="44"/>
        <w:lang w:val="en-US" w:eastAsia="zh-CN"/>
      </w:rPr>
      <w:t>发布</w:t>
    </w:r>
    <w:r>
      <w:rPr>
        <w:rFonts w:ascii="宋体" w:eastAsia="宋体" w:cs="宋体"/>
        <w:b/>
        <w:bCs/>
        <w:color w:val="005192"/>
        <w:sz w:val="28"/>
        <w:szCs w:val="44"/>
        <w:lang w:val="en-US" w:eastAsia="zh-CN"/>
      </w:rPr>
      <w:t xml:space="preserve">  </w:t>
    </w:r>
  </w:p>
  <w:p>
    <w:pPr>
      <w:pStyle w:val="7"/>
      <w:jc w:val="right"/>
      <w:rPr>
        <w:rFonts w:ascii="宋体" w:eastAsia="宋体" w:cs="宋体"/>
        <w:color w:val="00519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sz w:val="28"/>
        <w:szCs w:val="28"/>
      </w:rPr>
    </w:pPr>
    <w:r>
      <w:rPr>
        <w:rFonts w:ascii="宋体"/>
        <w:sz w:val="28"/>
        <w:szCs w:val="28"/>
      </w:rPr>
      <w:fldChar w:fldCharType="begin"/>
    </w:r>
    <w:r>
      <w:rPr>
        <w:rFonts w:ascii="宋体"/>
        <w:sz w:val="28"/>
        <w:szCs w:val="28"/>
      </w:rPr>
      <w:instrText xml:space="preserve">Page</w:instrText>
    </w:r>
    <w:r>
      <w:rPr>
        <w:rFonts w:ascii="宋体"/>
        <w:sz w:val="28"/>
        <w:szCs w:val="28"/>
      </w:rPr>
      <w:fldChar w:fldCharType="separate"/>
    </w:r>
    <w:r>
      <w:rPr>
        <w:rFonts w:ascii="宋体"/>
        <w:sz w:val="28"/>
        <w:szCs w:val="28"/>
      </w:rPr>
      <w:t>- 2 -</w:t>
    </w:r>
    <w:r>
      <w:rPr>
        <w:rFonts w:ascii="宋体"/>
        <w:sz w:val="28"/>
        <w:szCs w:val="28"/>
      </w:rPr>
      <w:fldChar w:fldCharType="end"/>
    </w:r>
  </w:p>
  <w:p>
    <w:pPr>
      <w:pStyle w:val="6"/>
      <w:ind w:right="357" w:firstLine="357"/>
      <w:rPr>
        <w:rFonts w:ascii="宋体"/>
        <w:sz w:val="28"/>
        <w:szCs w:val="28"/>
      </w:rPr>
    </w:pPr>
    <w:r>
      <w:rPr>
        <w:rFonts w:ascii="宋体"/>
        <w:sz w:val="28"/>
        <w:szCs w:val="28"/>
      </w:rPr>
      <mc:AlternateContent>
        <mc:Choice Requires="wps">
          <w:drawing>
            <wp:anchor distT="0" distB="0" distL="113665" distR="113665" simplePos="0" relativeHeight="251659264" behindDoc="0" locked="0" layoutInCell="1" allowOverlap="1">
              <wp:simplePos x="0" y="0"/>
              <wp:positionH relativeFrom="column">
                <wp:posOffset>8255</wp:posOffset>
              </wp:positionH>
              <wp:positionV relativeFrom="paragraph">
                <wp:posOffset>147320</wp:posOffset>
              </wp:positionV>
              <wp:extent cx="5616575" cy="1905"/>
              <wp:effectExtent l="0" t="0" r="0" b="0"/>
              <wp:wrapNone/>
              <wp:docPr id="13" name="直线 13"/>
              <wp:cNvGraphicFramePr/>
              <a:graphic xmlns:a="http://schemas.openxmlformats.org/drawingml/2006/main">
                <a:graphicData uri="http://schemas.microsoft.com/office/word/2010/wordprocessingShape">
                  <wps:wsp>
                    <wps:cNvCnPr/>
                    <wps:spPr>
                      <a:xfrm>
                        <a:off x="0" y="0"/>
                        <a:ext cx="5616575" cy="1904"/>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13" o:spid="_x0000_s1026" o:spt="20" style="position:absolute;left:0pt;margin-left:0.65pt;margin-top:11.6pt;height:0.15pt;width:442.25pt;z-index:251659264;mso-width-relative:page;mso-height-relative:page;" filled="f" stroked="t" coordsize="21600,21600" o:gfxdata="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fLrH7SAAAABwEAAA8AAAAAAAAA&#10;AQAgAAAAIgAAAGRycy9kb3ducmV2LnhtbFBLAQIUABQAAAAIAIdO4kA1x34fFwIAACMEAAAOAAAA&#10;AAAAAAEAIAAAACEBAABkcnMvZTJvRG9jLnhtbFBLBQYAAAAABgAGAFkBAACqBQAAAAA=&#10;">
              <v:fill on="f" focussize="0,0"/>
              <v:stroke weight="1.75pt" color="#005192" joinstyle="round"/>
              <v:imagedata o:title=""/>
              <o:lock v:ext="edit" aspectratio="f"/>
            </v:line>
          </w:pict>
        </mc:Fallback>
      </mc:AlternateContent>
    </w:r>
  </w:p>
  <w:p>
    <w:pPr>
      <w:pStyle w:val="6"/>
      <w:ind w:right="357" w:firstLine="357"/>
      <w:jc w:val="right"/>
      <w:rPr>
        <w:rFonts w:ascii="宋体"/>
        <w:sz w:val="28"/>
        <w:szCs w:val="28"/>
      </w:rPr>
    </w:pPr>
    <w:r>
      <w:rPr>
        <w:rFonts w:ascii="宋体" w:eastAsia="宋体" w:cs="宋体"/>
        <w:b/>
        <w:bCs/>
        <w:color w:val="005192"/>
        <w:sz w:val="28"/>
        <w:szCs w:val="44"/>
      </w:rPr>
      <w:t>重庆市江津区发展和改革委员会</w:t>
    </w:r>
    <w:r>
      <w:rPr>
        <w:rFonts w:hint="eastAsia" w:ascii="宋体" w:eastAsia="宋体" w:cs="宋体"/>
        <w:b/>
        <w:bCs/>
        <w:color w:val="005192"/>
        <w:sz w:val="28"/>
        <w:szCs w:val="44"/>
        <w:lang w:val="en-US" w:eastAsia="zh-CN"/>
      </w:rPr>
      <w:t>发布</w:t>
    </w:r>
    <w:r>
      <w:rPr>
        <w:rFonts w:ascii="宋体" w:eastAsia="宋体" w:cs="宋体"/>
        <w:b/>
        <w:bCs/>
        <w:color w:val="005192"/>
        <w:sz w:val="28"/>
        <w:szCs w:val="44"/>
        <w:lang w:val="en-US" w:eastAsia="zh-CN"/>
      </w:rPr>
      <w:t xml:space="preserve">  </w:t>
    </w:r>
  </w:p>
  <w:p>
    <w:pPr>
      <w:pStyle w:val="6"/>
      <w:ind w:right="360" w:firstLine="360"/>
      <w:rPr>
        <w:rFonts w:hint="eastAsia"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adjustRightInd/>
      <w:snapToGrid w:val="0"/>
      <w:textAlignment w:val="center"/>
      <w:rPr>
        <w:rFonts w:ascii="宋体" w:eastAsia="宋体" w:cs="宋体"/>
        <w:b/>
        <w:bCs/>
        <w:color w:val="005192"/>
        <w:sz w:val="32"/>
      </w:rPr>
    </w:pPr>
  </w:p>
  <w:p>
    <w:pPr>
      <w:pStyle w:val="7"/>
      <w:keepNext w:val="0"/>
      <w:keepLines w:val="0"/>
      <w:pageBreakBefore w:val="0"/>
      <w:widowControl w:val="0"/>
      <w:kinsoku/>
      <w:wordWrap/>
      <w:overflowPunct/>
      <w:topLinePunct w:val="0"/>
      <w:autoSpaceDE/>
      <w:autoSpaceDN/>
      <w:adjustRightInd/>
      <w:snapToGrid w:val="0"/>
      <w:textAlignment w:val="center"/>
      <w:rPr>
        <w:rFonts w:ascii="宋体" w:eastAsia="宋体" w:cs="宋体"/>
        <w:b/>
        <w:bCs/>
        <w:color w:val="005192"/>
        <w:sz w:val="32"/>
        <w:szCs w:val="32"/>
      </w:rPr>
    </w:pPr>
    <w:r>
      <w:rPr>
        <w:rFonts w:ascii="宋体" w:eastAsia="宋体" w:cs="宋体"/>
        <w:b/>
        <w:bCs/>
        <w:color w:val="005192"/>
        <w:sz w:val="32"/>
        <w:szCs w:val="32"/>
      </w:rPr>
      <mc:AlternateContent>
        <mc:Choice Requires="wps">
          <w:drawing>
            <wp:anchor distT="0" distB="0" distL="113665" distR="113665" simplePos="0" relativeHeight="251659264" behindDoc="0" locked="0" layoutInCell="1" allowOverlap="1">
              <wp:simplePos x="0" y="0"/>
              <wp:positionH relativeFrom="column">
                <wp:posOffset>-8255</wp:posOffset>
              </wp:positionH>
              <wp:positionV relativeFrom="paragraph">
                <wp:posOffset>445770</wp:posOffset>
              </wp:positionV>
              <wp:extent cx="5620385" cy="635"/>
              <wp:effectExtent l="0" t="0" r="0" b="0"/>
              <wp:wrapNone/>
              <wp:docPr id="1" name="直线 1"/>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1" o:spid="_x0000_s1026" o:spt="20" style="position:absolute;left:0pt;margin-left:-0.65pt;margin-top:35.1pt;height:0.05pt;width:442.55pt;z-index:251659264;mso-width-relative:page;mso-height-relative:page;" filled="f" stroked="t" coordsize="21600,21600" o:gfxdata="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24Bw0wAAAAgBAAAPAAAAAAAAAAEA&#10;IAAAACIAAABkcnMvZG93bnJldi54bWxQSwECFAAUAAAACACHTuJAvnol9hQCAAAgBAAADgAAAAAA&#10;AAABACAAAAAiAQAAZHJzL2Uyb0RvYy54bWxQSwUGAAAAAAYABgBZAQAAqAUAAAAA&#10;">
              <v:fill on="f" focussize="0,0"/>
              <v:stroke weight="1.75pt" color="#005192" joinstyle="round"/>
              <v:imagedata o:title=""/>
              <o:lock v:ext="edit" aspectratio="f"/>
            </v:line>
          </w:pict>
        </mc:Fallback>
      </mc:AlternateContent>
    </w:r>
    <w:r>
      <w:rPr>
        <w:rFonts w:hint="eastAsia" w:ascii="宋体" w:eastAsia="宋体" w:cs="宋体"/>
        <w:b/>
        <w:bCs/>
        <w:color w:val="005192"/>
        <w:sz w:val="32"/>
      </w:rPr>
      <w:drawing>
        <wp:inline distT="0" distB="0" distL="114300" distR="114300">
          <wp:extent cx="308610" cy="308610"/>
          <wp:effectExtent l="0" t="0" r="0" b="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ascii="宋体" w:eastAsia="宋体" w:cs="宋体"/>
        <w:b/>
        <w:bCs/>
        <w:color w:val="005192"/>
        <w:sz w:val="32"/>
      </w:rPr>
      <w:t>重庆市江津区发展和改革委员会行政</w:t>
    </w:r>
    <w:r>
      <w:rPr>
        <w:rFonts w:hint="eastAsia" w:ascii="宋体" w:eastAsia="宋体" w:cs="宋体"/>
        <w:b/>
        <w:bCs/>
        <w:color w:val="005192"/>
        <w:sz w:val="32"/>
        <w:szCs w:val="32"/>
        <w:lang w:val="en-U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adjustRightInd/>
      <w:snapToGrid w:val="0"/>
      <w:textAlignment w:val="center"/>
      <w:rPr>
        <w:rFonts w:ascii="宋体" w:eastAsia="宋体" w:cs="宋体"/>
        <w:b/>
        <w:bCs/>
        <w:color w:val="005192"/>
        <w:sz w:val="32"/>
      </w:rPr>
    </w:pPr>
  </w:p>
  <w:p>
    <w:pPr>
      <w:pStyle w:val="7"/>
      <w:keepNext w:val="0"/>
      <w:keepLines w:val="0"/>
      <w:pageBreakBefore w:val="0"/>
      <w:widowControl w:val="0"/>
      <w:kinsoku/>
      <w:wordWrap/>
      <w:overflowPunct/>
      <w:topLinePunct w:val="0"/>
      <w:autoSpaceDE/>
      <w:autoSpaceDN/>
      <w:adjustRightInd/>
      <w:snapToGrid w:val="0"/>
      <w:textAlignment w:val="center"/>
      <w:rPr>
        <w:rFonts w:ascii="宋体" w:eastAsia="宋体" w:cs="宋体"/>
        <w:b/>
        <w:bCs/>
        <w:color w:val="005192"/>
        <w:sz w:val="32"/>
        <w:szCs w:val="32"/>
        <w:lang w:val="en-US"/>
      </w:rPr>
    </w:pPr>
    <w:r>
      <w:rPr>
        <w:rFonts w:ascii="宋体" w:eastAsia="宋体" w:cs="宋体"/>
        <w:b/>
        <w:bCs/>
        <w:color w:val="005192"/>
        <w:sz w:val="32"/>
        <w:szCs w:val="32"/>
      </w:rPr>
      <mc:AlternateContent>
        <mc:Choice Requires="wps">
          <w:drawing>
            <wp:anchor distT="0" distB="0" distL="113665" distR="113665" simplePos="0" relativeHeight="251659264" behindDoc="0" locked="0" layoutInCell="1" allowOverlap="1">
              <wp:simplePos x="0" y="0"/>
              <wp:positionH relativeFrom="column">
                <wp:posOffset>-8255</wp:posOffset>
              </wp:positionH>
              <wp:positionV relativeFrom="paragraph">
                <wp:posOffset>445770</wp:posOffset>
              </wp:positionV>
              <wp:extent cx="5620385" cy="635"/>
              <wp:effectExtent l="0" t="0" r="0" b="0"/>
              <wp:wrapNone/>
              <wp:docPr id="6" name="直线 6"/>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6" o:spid="_x0000_s1026" o:spt="20" style="position:absolute;left:0pt;margin-left:-0.65pt;margin-top:35.1pt;height:0.05pt;width:442.55pt;z-index:251659264;mso-width-relative:page;mso-height-relative:page;" filled="f" stroked="t" coordsize="21600,21600" o:gfxdata="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9uAcNMAAAAIAQAADwAAAAAAAAAB&#10;ACAAAAAiAAAAZHJzL2Rvd25yZXYueG1sUEsBAhQAFAAAAAgAh07iQPn0Xa0VAgAAIAQAAA4AAAAA&#10;AAAAAQAgAAAAIgEAAGRycy9lMm9Eb2MueG1sUEsFBgAAAAAGAAYAWQEAAKkFAAAAAA==&#10;">
              <v:fill on="f" focussize="0,0"/>
              <v:stroke weight="1.75pt" color="#005192" joinstyle="round"/>
              <v:imagedata o:title=""/>
              <o:lock v:ext="edit" aspectratio="f"/>
            </v:line>
          </w:pict>
        </mc:Fallback>
      </mc:AlternateContent>
    </w:r>
    <w:r>
      <w:rPr>
        <w:rFonts w:hint="eastAsia" w:ascii="宋体" w:eastAsia="宋体" w:cs="宋体"/>
        <w:b/>
        <w:bCs/>
        <w:color w:val="005192"/>
        <w:sz w:val="32"/>
      </w:rPr>
      <w:drawing>
        <wp:inline distT="0" distB="0" distL="114300" distR="114300">
          <wp:extent cx="308610" cy="308610"/>
          <wp:effectExtent l="0" t="0" r="0" b="0"/>
          <wp:docPr id="8" name="图片 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徽1024"/>
                  <pic:cNvPicPr>
                    <a:picLocks noChangeAspect="1"/>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ascii="宋体" w:eastAsia="宋体" w:cs="宋体"/>
        <w:b/>
        <w:bCs/>
        <w:color w:val="005192"/>
        <w:sz w:val="32"/>
      </w:rPr>
      <w:t>重庆市江津区发展和改革委员会行政</w:t>
    </w:r>
    <w:r>
      <w:rPr>
        <w:rFonts w:hint="eastAsia" w:ascii="宋体" w:eastAsia="宋体" w:cs="宋体"/>
        <w:b/>
        <w:bCs/>
        <w:color w:val="005192"/>
        <w:sz w:val="32"/>
        <w:szCs w:val="32"/>
        <w:lang w:val="en-US"/>
      </w:rPr>
      <w:t>规范性文件</w:t>
    </w:r>
  </w:p>
  <w:p>
    <w:pPr>
      <w:pStyle w:val="7"/>
      <w:keepNext w:val="0"/>
      <w:keepLines w:val="0"/>
      <w:pageBreakBefore w:val="0"/>
      <w:widowControl w:val="0"/>
      <w:kinsoku/>
      <w:wordWrap/>
      <w:overflowPunct/>
      <w:topLinePunct w:val="0"/>
      <w:autoSpaceDE/>
      <w:autoSpaceDN/>
      <w:adjustRightInd/>
      <w:snapToGrid w:val="0"/>
      <w:textAlignment w:val="center"/>
      <w:rPr>
        <w:rFonts w:ascii="宋体" w:eastAsia="宋体" w:cs="宋体"/>
        <w:b/>
        <w:bCs/>
        <w:color w:val="005192"/>
        <w:sz w:val="32"/>
        <w:szCs w:val="32"/>
      </w:rP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ZWRiMDM4MTZiZDNmNTEwZDE3ZmI4OWYwY2Y1N2RiZTIifQ=="/>
  </w:docVars>
  <w:rsids>
    <w:rsidRoot w:val="00000000"/>
    <w:rsid w:val="39F16BC7"/>
    <w:rsid w:val="42FB6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Calibri" w:hAnsi="Calibri" w:eastAsia="宋体" w:cs="Arial"/>
      <w:kern w:val="2"/>
      <w:sz w:val="21"/>
      <w:szCs w:val="24"/>
      <w:lang w:val="en-US" w:eastAsia="zh-CN" w:bidi="ar-SA"/>
    </w:rPr>
  </w:style>
  <w:style w:type="paragraph" w:styleId="2">
    <w:name w:val="heading 4"/>
    <w:basedOn w:val="1"/>
    <w:next w:val="1"/>
    <w:autoRedefine/>
    <w:uiPriority w:val="0"/>
    <w:pPr>
      <w:keepNext/>
      <w:keepLines/>
      <w:widowControl w:val="0"/>
      <w:spacing w:before="280" w:after="290" w:line="372" w:lineRule="auto"/>
      <w:outlineLvl w:val="3"/>
    </w:pPr>
    <w:rPr>
      <w:rFonts w:ascii="Arial" w:hAnsi="Arial" w:eastAsia="黑体"/>
      <w:b/>
      <w:sz w:val="28"/>
    </w:rPr>
  </w:style>
  <w:style w:type="character" w:default="1" w:styleId="10">
    <w:name w:val="Default Paragraph Font"/>
    <w:autoRedefine/>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autoRedefine/>
    <w:uiPriority w:val="0"/>
    <w:pPr>
      <w:jc w:val="left"/>
    </w:pPr>
  </w:style>
  <w:style w:type="paragraph" w:styleId="4">
    <w:name w:val="Body Text"/>
    <w:basedOn w:val="1"/>
    <w:autoRedefine/>
    <w:uiPriority w:val="0"/>
    <w:pPr>
      <w:spacing w:after="120"/>
    </w:pPr>
  </w:style>
  <w:style w:type="paragraph" w:styleId="5">
    <w:name w:val="Balloon Text"/>
    <w:basedOn w:val="1"/>
    <w:autoRedefine/>
    <w:qFormat/>
    <w:uiPriority w:val="0"/>
    <w:rPr>
      <w:sz w:val="18"/>
      <w:szCs w:val="18"/>
    </w:rPr>
  </w:style>
  <w:style w:type="paragraph" w:styleId="6">
    <w:name w:val="footer"/>
    <w:basedOn w:val="1"/>
    <w:autoRedefine/>
    <w:uiPriority w:val="0"/>
    <w:pPr>
      <w:tabs>
        <w:tab w:val="center" w:pos="4153"/>
        <w:tab w:val="right" w:pos="8306"/>
      </w:tabs>
      <w:snapToGrid w:val="0"/>
      <w:jc w:val="left"/>
    </w:pPr>
    <w:rPr>
      <w:sz w:val="18"/>
    </w:rPr>
  </w:style>
  <w:style w:type="paragraph" w:styleId="7">
    <w:name w:val="header"/>
    <w:basedOn w:val="1"/>
    <w:autoRedefine/>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autoRedefine/>
    <w:uiPriority w:val="0"/>
    <w:pPr>
      <w:spacing w:beforeAutospacing="1" w:afterAutospacing="1"/>
      <w:jc w:val="left"/>
    </w:pPr>
    <w:rPr>
      <w:rFonts w:cs="Times New Roman"/>
      <w:kern w:val="0"/>
      <w:sz w:val="24"/>
    </w:rPr>
  </w:style>
  <w:style w:type="character" w:styleId="11">
    <w:name w:val="Strong"/>
    <w:basedOn w:val="10"/>
    <w:autoRedefine/>
    <w:uiPriority w:val="0"/>
    <w:rPr>
      <w:b/>
      <w:bCs/>
    </w:rPr>
  </w:style>
  <w:style w:type="character" w:styleId="12">
    <w:name w:val="page number"/>
    <w:basedOn w:val="10"/>
    <w:autoRedefine/>
    <w:uiPriority w:val="0"/>
  </w:style>
  <w:style w:type="character" w:styleId="13">
    <w:name w:val="annotation reference"/>
    <w:basedOn w:val="10"/>
    <w:autoRedefine/>
    <w:uiPriority w:val="0"/>
    <w:rPr>
      <w:sz w:val="21"/>
      <w:szCs w:val="21"/>
    </w:rPr>
  </w:style>
  <w:style w:type="paragraph" w:customStyle="1" w:styleId="14">
    <w:name w:val="p0"/>
    <w:basedOn w:val="1"/>
    <w:autoRedefine/>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MS</Company>
  <Pages>3</Pages>
  <Words>1086</Words>
  <Characters>1136</Characters>
  <Lines>82</Lines>
  <Paragraphs>55</Paragraphs>
  <TotalTime>2</TotalTime>
  <ScaleCrop>false</ScaleCrop>
  <LinksUpToDate>false</LinksUpToDate>
  <CharactersWithSpaces>1186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2022-12-09T07:44:00Z</dcterms:created>
  <dc:creator>t</dc:creator>
  <cp:lastModifiedBy>云汐</cp:lastModifiedBy>
  <cp:lastPrinted>2022-06-06T16:09:00Z</cp:lastPrinted>
  <dcterms:modified xsi:type="dcterms:W3CDTF">2024-01-12T01:53:54Z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