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napToGrid/>
        <w:spacing w:line="579" w:lineRule="exact"/>
        <w:jc w:val="center"/>
        <w:textAlignment w:val="auto"/>
        <w:rPr>
          <w:rFonts w:hint="eastAsia" w:ascii="方正小标宋_GBK" w:eastAsia="方正小标宋_GBK" w:cs="方正小标宋_GBK"/>
          <w:color w:val="auto"/>
          <w:kern w:val="0"/>
          <w:sz w:val="44"/>
          <w:szCs w:val="44"/>
          <w:shd w:val="clear" w:color="auto" w:fill="FFFFFF"/>
          <w:lang w:bidi="ar-SA"/>
        </w:rPr>
      </w:pPr>
      <w:r>
        <w:rPr>
          <w:rFonts w:hint="eastAsia" w:ascii="方正小标宋_GBK" w:eastAsia="方正小标宋_GBK" w:cs="方正小标宋_GBK"/>
          <w:color w:val="auto"/>
          <w:kern w:val="0"/>
          <w:sz w:val="44"/>
          <w:szCs w:val="44"/>
          <w:shd w:val="clear" w:color="auto" w:fill="FFFFFF"/>
          <w:lang w:bidi="ar-SA"/>
        </w:rPr>
        <w:t>重庆市江津区发展和改革委员会</w:t>
      </w:r>
    </w:p>
    <w:p>
      <w:pPr>
        <w:keepNext w:val="0"/>
        <w:keepLines w:val="0"/>
        <w:pageBreakBefore w:val="0"/>
        <w:widowControl w:val="0"/>
        <w:kinsoku/>
        <w:wordWrap/>
        <w:overflowPunct/>
        <w:topLinePunct w:val="0"/>
        <w:autoSpaceDN/>
        <w:bidi w:val="0"/>
        <w:snapToGrid/>
        <w:spacing w:line="579" w:lineRule="exact"/>
        <w:jc w:val="center"/>
        <w:textAlignment w:val="auto"/>
        <w:rPr>
          <w:rFonts w:hint="eastAsia" w:ascii="宋体" w:hAnsi="宋体" w:eastAsia="方正小标宋_GBK" w:cs="方正小标宋_GBK"/>
          <w:color w:val="auto"/>
          <w:sz w:val="44"/>
          <w:szCs w:val="44"/>
        </w:rPr>
      </w:pPr>
      <w:r>
        <w:rPr>
          <w:rFonts w:hint="eastAsia" w:ascii="宋体" w:hAnsi="宋体" w:eastAsia="方正小标宋_GBK" w:cs="方正小标宋_GBK"/>
          <w:color w:val="auto"/>
          <w:sz w:val="44"/>
          <w:szCs w:val="44"/>
        </w:rPr>
        <w:t>202</w:t>
      </w:r>
      <w:r>
        <w:rPr>
          <w:rFonts w:hint="eastAsia" w:ascii="宋体" w:hAnsi="宋体" w:eastAsia="方正小标宋_GBK" w:cs="方正小标宋_GBK"/>
          <w:color w:val="auto"/>
          <w:sz w:val="44"/>
          <w:szCs w:val="44"/>
          <w:lang w:val="en-US" w:eastAsia="zh-CN"/>
        </w:rPr>
        <w:t>4年度部门决算公开</w:t>
      </w:r>
      <w:r>
        <w:rPr>
          <w:rFonts w:hint="eastAsia" w:ascii="宋体" w:hAnsi="宋体" w:eastAsia="方正小标宋_GBK" w:cs="方正小标宋_GBK"/>
          <w:color w:val="auto"/>
          <w:sz w:val="44"/>
          <w:szCs w:val="44"/>
        </w:rPr>
        <w:t>说明</w:t>
      </w:r>
    </w:p>
    <w:p>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color w:val="auto"/>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kern w:val="0"/>
          <w:sz w:val="32"/>
          <w:szCs w:val="32"/>
          <w:lang w:val="en-US" w:eastAsia="zh-CN"/>
        </w:rPr>
      </w:pPr>
      <w:r>
        <w:rPr>
          <w:rFonts w:hint="eastAsia" w:ascii="宋体" w:hAnsi="宋体" w:eastAsia="方正楷体_GBK" w:cs="方正楷体_GBK"/>
          <w:color w:val="auto"/>
          <w:kern w:val="0"/>
          <w:sz w:val="32"/>
          <w:szCs w:val="32"/>
          <w:lang w:eastAsia="zh-CN"/>
        </w:rPr>
        <w:t>（</w:t>
      </w:r>
      <w:r>
        <w:rPr>
          <w:rFonts w:hint="eastAsia" w:ascii="宋体" w:hAnsi="宋体" w:eastAsia="方正楷体_GBK" w:cs="方正楷体_GBK"/>
          <w:color w:val="auto"/>
          <w:kern w:val="0"/>
          <w:sz w:val="32"/>
          <w:szCs w:val="32"/>
          <w:lang w:val="en-US" w:eastAsia="zh-CN"/>
        </w:rPr>
        <w:t>一</w:t>
      </w:r>
      <w:r>
        <w:rPr>
          <w:rFonts w:hint="eastAsia" w:ascii="宋体" w:hAnsi="宋体" w:eastAsia="方正楷体_GBK" w:cs="方正楷体_GBK"/>
          <w:color w:val="auto"/>
          <w:kern w:val="0"/>
          <w:sz w:val="32"/>
          <w:szCs w:val="32"/>
          <w:lang w:eastAsia="zh-CN"/>
        </w:rPr>
        <w:t>）</w:t>
      </w:r>
      <w:r>
        <w:rPr>
          <w:rFonts w:hint="eastAsia" w:ascii="宋体" w:hAnsi="宋体" w:eastAsia="方正楷体_GBK" w:cs="方正楷体_GBK"/>
          <w:color w:val="auto"/>
          <w:kern w:val="0"/>
          <w:sz w:val="32"/>
          <w:szCs w:val="32"/>
          <w:lang w:val="en-US" w:eastAsia="zh-CN"/>
        </w:rPr>
        <w:t>职能职责</w:t>
      </w:r>
    </w:p>
    <w:p>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kern w:val="2"/>
          <w:sz w:val="32"/>
          <w:szCs w:val="22"/>
          <w:lang w:val="en-US" w:eastAsia="zh-CN" w:bidi="ar-SA"/>
        </w:rPr>
        <w:t>重庆市江津区发展和改革委员会是区政府直属全额拨款机关行政单位，主要职责是：拟订并组织实施全区国民经济和社会发展战略、中长期规划和年度计划。提出全区加快现代化经济体系、推动高质量发展的总体目标、重要任务以及相关措施。推进和综合协调经济体制改革有关工作。负责全区固定资产投资调控，牵头拟订年度重点建设项目。负责推动落实成渝地区双城经济圈建设战略。牵头开展社会信用体系建设。负责推进可持续发展战略，统筹协调全区节能工作。负责指导协调全区公共资源交易活动。负责行政事业性收费管理。负责全区能源发展重要问题的研究。承担民营经济发展职责。负责粮油和物资储备管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kern w:val="0"/>
          <w:sz w:val="32"/>
          <w:szCs w:val="32"/>
          <w:lang w:eastAsia="zh-CN"/>
        </w:rPr>
      </w:pPr>
      <w:r>
        <w:rPr>
          <w:rFonts w:hint="eastAsia" w:ascii="宋体" w:hAnsi="宋体" w:eastAsia="方正楷体_GBK" w:cs="方正楷体_GBK"/>
          <w:color w:val="auto"/>
          <w:kern w:val="0"/>
          <w:sz w:val="32"/>
          <w:szCs w:val="32"/>
          <w:lang w:val="en-US" w:eastAsia="zh-CN"/>
        </w:rPr>
        <w:t>机构设置</w:t>
      </w:r>
    </w:p>
    <w:p>
      <w:pPr>
        <w:keepNext w:val="0"/>
        <w:keepLines w:val="0"/>
        <w:pageBreakBefore w:val="0"/>
        <w:numPr>
          <w:ilvl w:val="0"/>
          <w:numId w:val="0"/>
        </w:numPr>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color w:val="auto"/>
          <w:kern w:val="0"/>
          <w:sz w:val="32"/>
          <w:szCs w:val="32"/>
          <w:lang w:eastAsia="zh-CN"/>
        </w:rPr>
      </w:pPr>
      <w:r>
        <w:rPr>
          <w:rFonts w:hint="eastAsia" w:eastAsia="方正仿宋_GBK" w:cs="方正仿宋_GBK"/>
          <w:color w:val="auto"/>
          <w:kern w:val="2"/>
          <w:sz w:val="32"/>
          <w:szCs w:val="22"/>
          <w:lang w:val="en-US" w:eastAsia="zh-CN" w:bidi="ar-SA"/>
        </w:rPr>
        <w:t>我委</w:t>
      </w:r>
      <w:r>
        <w:rPr>
          <w:rFonts w:hint="eastAsia" w:ascii="宋体" w:hAnsi="宋体" w:eastAsia="方正仿宋_GBK" w:cs="方正仿宋_GBK"/>
          <w:color w:val="auto"/>
          <w:kern w:val="2"/>
          <w:sz w:val="32"/>
          <w:szCs w:val="22"/>
          <w:lang w:val="en-US" w:eastAsia="zh-CN" w:bidi="ar-SA"/>
        </w:rPr>
        <w:t>内设14个职能科室，下属1个正处级全额拨款事业单位（重庆市江津区经济信息咨询中心），与我委合署办公，内设</w:t>
      </w:r>
      <w:r>
        <w:rPr>
          <w:rFonts w:hint="eastAsia" w:hAnsi="宋体" w:eastAsia="方正仿宋_GBK" w:cs="方正仿宋_GBK"/>
          <w:color w:val="auto"/>
          <w:kern w:val="2"/>
          <w:sz w:val="32"/>
          <w:szCs w:val="22"/>
          <w:lang w:val="en-US" w:eastAsia="zh-CN" w:bidi="ar-SA"/>
        </w:rPr>
        <w:t>9</w:t>
      </w:r>
      <w:r>
        <w:rPr>
          <w:rFonts w:hint="eastAsia" w:ascii="宋体" w:hAnsi="宋体" w:eastAsia="方正仿宋_GBK" w:cs="方正仿宋_GBK"/>
          <w:color w:val="auto"/>
          <w:kern w:val="2"/>
          <w:sz w:val="32"/>
          <w:szCs w:val="22"/>
          <w:lang w:val="en-US" w:eastAsia="zh-CN" w:bidi="ar-SA"/>
        </w:rPr>
        <w:t>个职能科室；2个正科级全额拨款参公事业单位（重庆市江津区军粮供应站、重庆市江津区人民防空应急指挥中心）。</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部门决算情况</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sz w:val="32"/>
          <w:szCs w:val="32"/>
          <w:lang w:val="en-US" w:eastAsia="zh-CN"/>
        </w:rPr>
      </w:pPr>
      <w:r>
        <w:rPr>
          <w:rFonts w:hint="eastAsia" w:ascii="宋体" w:hAnsi="宋体" w:eastAsia="方正楷体_GBK" w:cs="方正楷体_GBK"/>
          <w:color w:val="auto"/>
          <w:sz w:val="32"/>
          <w:szCs w:val="32"/>
          <w:lang w:val="en-US" w:eastAsia="zh-CN"/>
        </w:rPr>
        <w:t>部门收支总体情况</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color w:val="auto"/>
          <w:sz w:val="32"/>
          <w:szCs w:val="32"/>
          <w:lang w:val="en-US" w:eastAsia="zh-CN"/>
        </w:rPr>
      </w:pPr>
      <w:r>
        <w:rPr>
          <w:rFonts w:hint="eastAsia" w:ascii="宋体" w:hAnsi="宋体" w:eastAsia="方正仿宋_GBK" w:cs="方正仿宋_GBK"/>
          <w:b/>
          <w:bCs/>
          <w:color w:val="auto"/>
          <w:sz w:val="32"/>
          <w:szCs w:val="32"/>
          <w:lang w:val="en-US" w:eastAsia="zh-CN"/>
        </w:rPr>
        <w:t>收入支出总体情况。</w:t>
      </w:r>
      <w:r>
        <w:rPr>
          <w:rFonts w:hint="eastAsia" w:ascii="宋体" w:hAnsi="宋体" w:eastAsia="方正仿宋_GBK" w:cs="方正仿宋_GBK"/>
          <w:b w:val="0"/>
          <w:bCs w:val="0"/>
          <w:color w:val="auto"/>
          <w:sz w:val="32"/>
          <w:szCs w:val="32"/>
          <w:lang w:val="en-US" w:eastAsia="zh-CN"/>
        </w:rPr>
        <w:t>2024年度收入总计3530.22万元，支出总计3530.22万元。收支较上年减少1040.08万元，下降22.76%，主要原因：一是人员变动；二是项目支出预算减少。</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color w:val="auto"/>
          <w:sz w:val="32"/>
          <w:szCs w:val="32"/>
          <w:lang w:val="en-US" w:eastAsia="zh-CN"/>
        </w:rPr>
      </w:pPr>
      <w:r>
        <w:rPr>
          <w:rFonts w:hint="eastAsia" w:ascii="宋体" w:hAnsi="宋体" w:eastAsia="方正仿宋_GBK" w:cs="方正仿宋_GBK"/>
          <w:b/>
          <w:bCs/>
          <w:color w:val="auto"/>
          <w:sz w:val="32"/>
          <w:szCs w:val="32"/>
          <w:lang w:val="en-US" w:eastAsia="zh-CN"/>
        </w:rPr>
        <w:t>收入情况。</w:t>
      </w:r>
      <w:r>
        <w:rPr>
          <w:rFonts w:hint="eastAsia" w:ascii="宋体" w:hAnsi="宋体" w:eastAsia="方正仿宋_GBK" w:cs="方正仿宋_GBK"/>
          <w:b w:val="0"/>
          <w:bCs w:val="0"/>
          <w:color w:val="auto"/>
          <w:sz w:val="32"/>
          <w:szCs w:val="32"/>
          <w:lang w:val="en-US" w:eastAsia="zh-CN"/>
        </w:rPr>
        <w:t>2024年度本年收入合计3530.22万元，较上年减少1040.08万元，下降22.76%，主要原因：一是人员变动；二是项目支出预算减少。其中：财政拨款收入3530.22万元，占比100%。</w:t>
      </w:r>
      <w:r>
        <w:rPr>
          <w:rFonts w:ascii="方正仿宋_GBK" w:hAnsi="方正仿宋_GBK" w:eastAsia="方正仿宋_GBK" w:cs="方正仿宋_GBK"/>
          <w:color w:val="auto"/>
          <w:sz w:val="32"/>
          <w:szCs w:val="32"/>
          <w:shd w:val="clear" w:color="auto" w:fill="FFFFFF"/>
        </w:rPr>
        <w:t>此外，使用非财政拨款结余和专用结余</w:t>
      </w:r>
      <w:r>
        <w:rPr>
          <w:rFonts w:hint="eastAsia" w:ascii="方正仿宋_GBK" w:hAnsi="方正仿宋_GBK" w:eastAsia="方正仿宋_GBK" w:cs="方正仿宋_GBK"/>
          <w:color w:val="auto"/>
          <w:sz w:val="32"/>
          <w:szCs w:val="32"/>
          <w:lang w:val="en-US" w:eastAsia="zh-CN"/>
        </w:rPr>
        <w:t>0</w:t>
      </w:r>
      <w:r>
        <w:rPr>
          <w:rFonts w:ascii="方正仿宋_GBK" w:hAnsi="方正仿宋_GBK" w:eastAsia="方正仿宋_GBK" w:cs="方正仿宋_GBK"/>
          <w:color w:val="auto"/>
          <w:sz w:val="32"/>
          <w:szCs w:val="32"/>
          <w:shd w:val="clear" w:color="auto" w:fill="FFFFFF"/>
        </w:rPr>
        <w:t>万元，年初结转和结余</w:t>
      </w:r>
      <w:r>
        <w:rPr>
          <w:rFonts w:hint="eastAsia" w:ascii="方正仿宋_GBK" w:hAnsi="方正仿宋_GBK" w:eastAsia="方正仿宋_GBK" w:cs="方正仿宋_GBK"/>
          <w:color w:val="auto"/>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color w:val="auto"/>
          <w:sz w:val="32"/>
          <w:szCs w:val="32"/>
          <w:lang w:val="en-US" w:eastAsia="zh-CN"/>
        </w:rPr>
      </w:pPr>
      <w:r>
        <w:rPr>
          <w:rFonts w:hint="eastAsia" w:ascii="宋体" w:hAnsi="宋体" w:eastAsia="方正仿宋_GBK" w:cs="方正仿宋_GBK"/>
          <w:b/>
          <w:bCs/>
          <w:color w:val="auto"/>
          <w:sz w:val="32"/>
          <w:szCs w:val="32"/>
          <w:lang w:val="en-US" w:eastAsia="zh-CN"/>
        </w:rPr>
        <w:t>支出情况。</w:t>
      </w:r>
      <w:r>
        <w:rPr>
          <w:rFonts w:hint="eastAsia" w:ascii="宋体" w:hAnsi="宋体" w:eastAsia="方正仿宋_GBK" w:cs="方正仿宋_GBK"/>
          <w:b w:val="0"/>
          <w:bCs w:val="0"/>
          <w:color w:val="auto"/>
          <w:sz w:val="32"/>
          <w:szCs w:val="32"/>
          <w:lang w:val="en-US" w:eastAsia="zh-CN"/>
        </w:rPr>
        <w:t>2024年度本年支出合计3530.22万元，</w:t>
      </w:r>
      <w:r>
        <w:rPr>
          <w:rFonts w:hint="eastAsia" w:ascii="宋体" w:hAnsi="宋体" w:eastAsia="方正仿宋_GBK" w:cs="方正仿宋_GBK"/>
          <w:color w:val="auto"/>
          <w:sz w:val="32"/>
        </w:rPr>
        <w:t>较</w:t>
      </w:r>
      <w:r>
        <w:rPr>
          <w:rFonts w:hint="eastAsia" w:ascii="宋体" w:hAnsi="宋体" w:eastAsia="方正仿宋_GBK" w:cs="方正仿宋_GBK"/>
          <w:color w:val="auto"/>
          <w:sz w:val="32"/>
          <w:lang w:val="en-US" w:eastAsia="zh-CN"/>
        </w:rPr>
        <w:t>上年</w:t>
      </w:r>
      <w:r>
        <w:rPr>
          <w:rFonts w:hint="eastAsia" w:ascii="宋体" w:hAnsi="宋体" w:eastAsia="方正仿宋_GBK" w:cs="方正仿宋_GBK"/>
          <w:color w:val="auto"/>
          <w:sz w:val="32"/>
          <w:lang w:eastAsia="zh-CN"/>
        </w:rPr>
        <w:t>减少</w:t>
      </w:r>
      <w:r>
        <w:rPr>
          <w:rFonts w:hint="eastAsia" w:ascii="宋体" w:hAnsi="宋体" w:eastAsia="方正仿宋_GBK" w:cs="方正仿宋_GBK"/>
          <w:color w:val="auto"/>
          <w:sz w:val="32"/>
          <w:lang w:val="en-US" w:eastAsia="zh-CN"/>
        </w:rPr>
        <w:t>1040.08</w:t>
      </w:r>
      <w:r>
        <w:rPr>
          <w:rFonts w:hint="eastAsia" w:ascii="宋体" w:hAnsi="宋体" w:eastAsia="方正仿宋_GBK" w:cs="方正仿宋_GBK"/>
          <w:color w:val="auto"/>
          <w:sz w:val="32"/>
        </w:rPr>
        <w:t>万元，</w:t>
      </w:r>
      <w:r>
        <w:rPr>
          <w:rFonts w:hint="eastAsia" w:ascii="宋体" w:hAnsi="宋体" w:eastAsia="方正仿宋_GBK" w:cs="方正仿宋_GBK"/>
          <w:b w:val="0"/>
          <w:bCs w:val="0"/>
          <w:color w:val="auto"/>
          <w:sz w:val="32"/>
          <w:szCs w:val="32"/>
          <w:lang w:val="en-US" w:eastAsia="zh-CN"/>
        </w:rPr>
        <w:t>下降22.76%，</w:t>
      </w:r>
      <w:r>
        <w:rPr>
          <w:rFonts w:hint="eastAsia" w:ascii="宋体" w:hAnsi="宋体" w:eastAsia="方正仿宋_GBK" w:cs="方正仿宋_GBK"/>
          <w:color w:val="auto"/>
          <w:sz w:val="32"/>
        </w:rPr>
        <w:t>主要</w:t>
      </w:r>
      <w:r>
        <w:rPr>
          <w:rFonts w:hint="eastAsia" w:ascii="宋体" w:hAnsi="宋体" w:eastAsia="方正仿宋_GBK" w:cs="方正仿宋_GBK"/>
          <w:color w:val="auto"/>
          <w:sz w:val="32"/>
          <w:lang w:val="en-US" w:eastAsia="zh-CN"/>
        </w:rPr>
        <w:t>原因</w:t>
      </w:r>
      <w:r>
        <w:rPr>
          <w:rFonts w:hint="eastAsia" w:ascii="宋体" w:hAnsi="宋体" w:eastAsia="方正仿宋_GBK" w:cs="方正仿宋_GBK"/>
          <w:b w:val="0"/>
          <w:bCs w:val="0"/>
          <w:color w:val="auto"/>
          <w:sz w:val="32"/>
          <w:szCs w:val="32"/>
          <w:lang w:val="en-US" w:eastAsia="zh-CN"/>
        </w:rPr>
        <w:t>：一是人员变动；二是项目支出预算减少</w:t>
      </w:r>
      <w:r>
        <w:rPr>
          <w:rFonts w:hint="eastAsia" w:ascii="宋体" w:hAnsi="宋体" w:eastAsia="方正仿宋_GBK" w:cs="方正仿宋_GBK"/>
          <w:color w:val="auto"/>
          <w:sz w:val="32"/>
          <w:lang w:val="en-US" w:eastAsia="zh-CN"/>
        </w:rPr>
        <w:t>。</w:t>
      </w:r>
      <w:r>
        <w:rPr>
          <w:rFonts w:hint="eastAsia" w:ascii="宋体" w:hAnsi="宋体" w:eastAsia="方正仿宋_GBK" w:cs="方正仿宋_GBK"/>
          <w:b w:val="0"/>
          <w:bCs w:val="0"/>
          <w:color w:val="auto"/>
          <w:sz w:val="32"/>
          <w:szCs w:val="32"/>
          <w:lang w:val="en-US" w:eastAsia="zh-CN"/>
        </w:rPr>
        <w:t>其中：基本支出2166.56万元，占比61.37%；项目支出1363.66万元，占比38.63%。</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color w:val="auto"/>
          <w:kern w:val="0"/>
          <w:sz w:val="32"/>
          <w:szCs w:val="32"/>
          <w:lang w:val="en-US" w:eastAsia="zh-CN"/>
        </w:rPr>
      </w:pPr>
      <w:r>
        <w:rPr>
          <w:rFonts w:hint="eastAsia" w:ascii="宋体" w:hAnsi="宋体" w:eastAsia="方正仿宋_GBK" w:cs="方正仿宋_GBK"/>
          <w:b/>
          <w:bCs/>
          <w:color w:val="auto"/>
          <w:sz w:val="32"/>
          <w:szCs w:val="32"/>
          <w:lang w:val="en-US" w:eastAsia="zh-CN"/>
        </w:rPr>
        <w:t>结转结余情况。</w:t>
      </w:r>
      <w:r>
        <w:rPr>
          <w:rFonts w:hint="eastAsia" w:ascii="宋体" w:hAnsi="宋体" w:eastAsia="方正仿宋_GBK" w:cs="方正仿宋_GBK"/>
          <w:b w:val="0"/>
          <w:bCs w:val="0"/>
          <w:color w:val="auto"/>
          <w:sz w:val="32"/>
          <w:szCs w:val="32"/>
          <w:lang w:val="en-US" w:eastAsia="zh-CN"/>
        </w:rPr>
        <w:t>2024年度年末结转和结余0万元，</w:t>
      </w:r>
      <w:r>
        <w:rPr>
          <w:rFonts w:hint="eastAsia" w:ascii="宋体" w:hAnsi="宋体" w:eastAsia="方正仿宋_GBK" w:cs="方正仿宋_GBK"/>
          <w:color w:val="auto"/>
          <w:kern w:val="2"/>
          <w:sz w:val="32"/>
          <w:szCs w:val="22"/>
          <w:lang w:val="en-US" w:eastAsia="zh-CN" w:bidi="ar-SA"/>
        </w:rPr>
        <w:t>与上年持平</w:t>
      </w:r>
      <w:r>
        <w:rPr>
          <w:rFonts w:hint="eastAsia" w:ascii="宋体" w:hAnsi="宋体" w:eastAsia="方正仿宋_GBK" w:cs="方正仿宋_GBK"/>
          <w:color w:val="auto"/>
          <w:kern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sz w:val="32"/>
          <w:szCs w:val="32"/>
          <w:lang w:val="en-US" w:eastAsia="zh-CN"/>
        </w:rPr>
      </w:pPr>
      <w:r>
        <w:rPr>
          <w:rFonts w:hint="eastAsia" w:ascii="宋体" w:hAnsi="宋体" w:eastAsia="方正楷体_GBK" w:cs="方正楷体_GBK"/>
          <w:color w:val="auto"/>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2024年度财政拨款收入总计3530.22万元，支出总计3530.22万元。</w:t>
      </w:r>
      <w:r>
        <w:rPr>
          <w:rFonts w:hint="eastAsia" w:ascii="宋体" w:hAnsi="宋体" w:eastAsia="方正仿宋_GBK" w:cs="方正仿宋_GBK"/>
          <w:color w:val="auto"/>
          <w:sz w:val="32"/>
        </w:rPr>
        <w:t>收支较上年</w:t>
      </w:r>
      <w:r>
        <w:rPr>
          <w:rFonts w:hint="eastAsia" w:ascii="宋体" w:hAnsi="宋体" w:eastAsia="方正仿宋_GBK" w:cs="方正仿宋_GBK"/>
          <w:color w:val="auto"/>
          <w:sz w:val="32"/>
          <w:lang w:eastAsia="zh-CN"/>
        </w:rPr>
        <w:t>减少</w:t>
      </w:r>
      <w:r>
        <w:rPr>
          <w:rFonts w:hint="eastAsia" w:ascii="宋体" w:hAnsi="宋体" w:eastAsia="方正仿宋_GBK" w:cs="方正仿宋_GBK"/>
          <w:color w:val="auto"/>
          <w:sz w:val="32"/>
          <w:lang w:val="en-US" w:eastAsia="zh-CN"/>
        </w:rPr>
        <w:t>1040.08</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lang w:val="en-US" w:eastAsia="zh-CN"/>
        </w:rPr>
        <w:t>下降22.76%，</w:t>
      </w:r>
      <w:r>
        <w:rPr>
          <w:rFonts w:hint="eastAsia" w:ascii="宋体" w:hAnsi="宋体" w:eastAsia="方正仿宋_GBK" w:cs="方正仿宋_GBK"/>
          <w:color w:val="auto"/>
          <w:sz w:val="32"/>
        </w:rPr>
        <w:t>主要原因</w:t>
      </w:r>
      <w:r>
        <w:rPr>
          <w:rFonts w:hint="eastAsia" w:ascii="宋体" w:hAnsi="宋体" w:eastAsia="方正仿宋_GBK" w:cs="方正仿宋_GBK"/>
          <w:b w:val="0"/>
          <w:bCs w:val="0"/>
          <w:color w:val="auto"/>
          <w:sz w:val="32"/>
          <w:szCs w:val="32"/>
          <w:lang w:val="en-US" w:eastAsia="zh-CN"/>
        </w:rPr>
        <w:t>：一是人员变动；二是项目支出预算减少</w:t>
      </w:r>
      <w:r>
        <w:rPr>
          <w:rFonts w:hint="eastAsia" w:ascii="宋体" w:hAnsi="宋体" w:eastAsia="方正仿宋_GBK" w:cs="方正仿宋_GBK"/>
          <w:color w:val="auto"/>
          <w:sz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sz w:val="32"/>
          <w:szCs w:val="32"/>
          <w:lang w:val="en-US" w:eastAsia="zh-CN"/>
        </w:rPr>
      </w:pPr>
      <w:r>
        <w:rPr>
          <w:rFonts w:hint="eastAsia" w:ascii="宋体" w:hAnsi="宋体" w:eastAsia="方正楷体_GBK" w:cs="方正楷体_GBK"/>
          <w:color w:val="auto"/>
          <w:sz w:val="32"/>
          <w:szCs w:val="32"/>
          <w:lang w:val="en-US" w:eastAsia="zh-CN"/>
        </w:rPr>
        <w:t>一般公共预算财政拨款收支总体情况</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3530.22</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决算数减少1040.08</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下降22.76</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b w:val="0"/>
          <w:bCs w:val="0"/>
          <w:color w:val="auto"/>
          <w:sz w:val="32"/>
          <w:szCs w:val="32"/>
          <w:lang w:val="en-US" w:eastAsia="zh-CN"/>
        </w:rPr>
        <w:t>：一是人员变动；二是项目支出预算减少</w:t>
      </w:r>
      <w:r>
        <w:rPr>
          <w:rFonts w:hint="eastAsia" w:ascii="宋体" w:hAnsi="宋体" w:eastAsia="方正仿宋_GBK" w:cs="方正仿宋_GBK"/>
          <w:color w:val="auto"/>
          <w:sz w:val="32"/>
          <w:lang w:val="en-US" w:eastAsia="zh-CN"/>
        </w:rPr>
        <w:t>。较年初预算数减少1508.83万元，下降29.94%，主要原因</w:t>
      </w:r>
      <w:r>
        <w:rPr>
          <w:rFonts w:hint="eastAsia" w:ascii="宋体" w:hAnsi="宋体" w:eastAsia="方正仿宋_GBK" w:cs="方正仿宋_GBK"/>
          <w:b w:val="0"/>
          <w:bCs w:val="0"/>
          <w:color w:val="auto"/>
          <w:sz w:val="32"/>
          <w:szCs w:val="32"/>
          <w:lang w:val="en-US" w:eastAsia="zh-CN"/>
        </w:rPr>
        <w:t>：一是人员变动；二是区财政局追减了项目支出预算</w:t>
      </w:r>
      <w:r>
        <w:rPr>
          <w:rFonts w:hint="eastAsia" w:ascii="宋体" w:hAnsi="宋体" w:eastAsia="方正仿宋_GBK" w:cs="方正仿宋_GBK"/>
          <w:color w:val="auto"/>
          <w:sz w:val="32"/>
          <w:lang w:val="en-US" w:eastAsia="zh-CN"/>
        </w:rPr>
        <w:t>。</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支出情况。</w:t>
      </w:r>
      <w:r>
        <w:rPr>
          <w:rFonts w:hint="eastAsia" w:ascii="宋体" w:hAnsi="宋体" w:eastAsia="方正仿宋_GBK" w:cs="方正仿宋_GBK"/>
          <w:color w:val="auto"/>
          <w:sz w:val="32"/>
          <w:lang w:val="en-US" w:eastAsia="zh-CN"/>
        </w:rPr>
        <w:t>2024年度一般公共预算财政拨款支出3530.22万元，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减少1040.08</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下降22.76</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b w:val="0"/>
          <w:bCs w:val="0"/>
          <w:color w:val="auto"/>
          <w:sz w:val="32"/>
          <w:szCs w:val="32"/>
          <w:lang w:val="en-US" w:eastAsia="zh-CN"/>
        </w:rPr>
        <w:t>：一是人员变动；二是项目支出预算减少</w:t>
      </w:r>
      <w:r>
        <w:rPr>
          <w:rFonts w:hint="eastAsia" w:ascii="宋体" w:hAnsi="宋体" w:eastAsia="方正仿宋_GBK" w:cs="方正仿宋_GBK"/>
          <w:color w:val="auto"/>
          <w:sz w:val="32"/>
          <w:lang w:val="en-US" w:eastAsia="zh-CN"/>
        </w:rPr>
        <w:t>。较年初预算数减少1508.83万元，下降29.94%，主要原因</w:t>
      </w:r>
      <w:r>
        <w:rPr>
          <w:rFonts w:hint="eastAsia" w:ascii="宋体" w:hAnsi="宋体" w:eastAsia="方正仿宋_GBK" w:cs="方正仿宋_GBK"/>
          <w:b w:val="0"/>
          <w:bCs w:val="0"/>
          <w:color w:val="auto"/>
          <w:sz w:val="32"/>
          <w:szCs w:val="32"/>
          <w:lang w:val="en-US" w:eastAsia="zh-CN"/>
        </w:rPr>
        <w:t>：一是人员变动；二是区财政局追减了项目支出预算</w:t>
      </w:r>
      <w:r>
        <w:rPr>
          <w:rFonts w:hint="eastAsia" w:ascii="宋体" w:hAnsi="宋体" w:eastAsia="方正仿宋_GBK" w:cs="方正仿宋_GBK"/>
          <w:color w:val="auto"/>
          <w:sz w:val="32"/>
          <w:lang w:val="en-US" w:eastAsia="zh-CN"/>
        </w:rPr>
        <w:t>。</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hint="eastAsia" w:ascii="方正仿宋_GBK" w:hAnsi="方正仿宋_GBK" w:eastAsia="方正仿宋_GBK" w:cs="方正仿宋_GBK"/>
          <w:color w:val="auto"/>
          <w:sz w:val="32"/>
          <w:szCs w:val="32"/>
          <w:lang w:val="en-US" w:eastAsia="zh-CN"/>
        </w:rPr>
        <w:t>0</w:t>
      </w:r>
      <w:r>
        <w:rPr>
          <w:rFonts w:ascii="方正仿宋_GBK" w:hAnsi="方正仿宋_GBK" w:eastAsia="方正仿宋_GBK" w:cs="方正仿宋_GBK"/>
          <w:color w:val="auto"/>
          <w:sz w:val="32"/>
          <w:szCs w:val="32"/>
          <w:shd w:val="clear" w:color="auto" w:fill="FFFFFF"/>
        </w:rPr>
        <w:t>万元，</w:t>
      </w:r>
      <w:r>
        <w:rPr>
          <w:rFonts w:hint="eastAsia" w:ascii="宋体" w:hAnsi="宋体" w:eastAsia="方正仿宋_GBK" w:cs="方正仿宋_GBK"/>
          <w:color w:val="auto"/>
          <w:kern w:val="2"/>
          <w:sz w:val="32"/>
          <w:szCs w:val="22"/>
          <w:lang w:val="en-US" w:eastAsia="zh-CN" w:bidi="ar-SA"/>
        </w:rPr>
        <w:t>与上年持平</w:t>
      </w:r>
      <w:r>
        <w:rPr>
          <w:rFonts w:hint="eastAsia" w:ascii="方正仿宋_GBK" w:hAnsi="方正仿宋_GBK" w:eastAsia="方正仿宋_GBK" w:cs="方正仿宋_GBK"/>
          <w:color w:val="auto"/>
          <w:sz w:val="32"/>
          <w:szCs w:val="32"/>
          <w:shd w:val="clear" w:color="auto" w:fill="FFFFFF"/>
          <w:lang w:val="en-US" w:eastAsia="zh-CN"/>
        </w:rPr>
        <w:t>。</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color w:val="auto"/>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一般公共服务支出2776.78万元，占比78.66%。较年初预算数减少237.84万元，下降7.89%，主要原因</w:t>
      </w:r>
      <w:r>
        <w:rPr>
          <w:rFonts w:hint="eastAsia" w:ascii="宋体" w:hAnsi="宋体" w:eastAsia="方正仿宋_GBK" w:cs="方正仿宋_GBK"/>
          <w:b w:val="0"/>
          <w:bCs w:val="0"/>
          <w:color w:val="auto"/>
          <w:sz w:val="32"/>
          <w:szCs w:val="32"/>
          <w:lang w:val="en-US" w:eastAsia="zh-CN"/>
        </w:rPr>
        <w:t>：一是人员变动；二是区财政局追减了项目支出预算</w:t>
      </w:r>
      <w:r>
        <w:rPr>
          <w:rFonts w:hint="eastAsia" w:ascii="宋体" w:hAnsi="宋体" w:eastAsia="方正仿宋_GBK" w:cs="方正仿宋_GBK"/>
          <w:color w:val="auto"/>
          <w:sz w:val="32"/>
          <w:lang w:val="en-US" w:eastAsia="zh-CN"/>
        </w:rPr>
        <w:t>。</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教育支出5.25万元，占比0.15%。较年初预算数减少5.32万元，下降50.33%，主要原因是未开展革命传统教育等培训。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（3）社会保障和就业支出414.7万元，占比11.75%。较年初预算数增加86.4万元，增长26.32%，主要原因：一是人员变动；二是区财政局追加了基本养老保险、职业年金和抚恤金等预算。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（4）卫生健康支出119.77万元，占比3.39%。较年初预算数减少9.27万元，下降7.18%，主要原因是人员变动。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（5）住房保障支出118.77万元，占比3.36%。较年初预算数减少0.55万元，下降0.46%，主要原因是人员变动。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（6）粮油物资储备支出94.95万元，占比2.69%。较年初预算数减少1342.25万元，下降93.39%，主要原因是区财政局追减了项目支出预算。</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sz w:val="32"/>
          <w:szCs w:val="32"/>
          <w:lang w:val="en-US" w:eastAsia="zh-CN"/>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2166.56万元。其中：人员经费1879.72万元，主要用于基本工资、津贴补贴、奖金、绩效工资、机关事业单位基本养老保险、职业年金缴费、职工基本医疗保险缴费、住房公积金、抚恤金、生活补助等，较上年决算数减少32.36万元，下降1.69%，主要原因是人员变动。公用经费286.84万元，主要用于办公费、邮电费、差旅费、培训费、工会经费、福利费、公务用车运行维护费、其他交通费、其他商品和服务支出等，较上年决算数减少9.84万元，下降3.32%，主要原因是人员变动。</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本部门2024年</w:t>
      </w:r>
      <w:r>
        <w:rPr>
          <w:rFonts w:ascii="方正仿宋_GBK" w:hAnsi="方正仿宋_GBK" w:eastAsia="方正仿宋_GBK" w:cs="方正仿宋_GBK"/>
          <w:color w:val="auto"/>
          <w:sz w:val="32"/>
          <w:szCs w:val="32"/>
          <w:shd w:val="clear" w:color="auto" w:fill="FFFFFF"/>
        </w:rPr>
        <w:t>度无政府性基金预算财政拨款收支</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方正仿宋_GBK" w:hAnsi="方正仿宋_GBK" w:eastAsia="方正仿宋_GBK" w:cs="方正仿宋_GBK"/>
          <w:color w:val="auto"/>
          <w:sz w:val="32"/>
          <w:szCs w:val="32"/>
          <w:shd w:val="clear" w:color="auto" w:fill="FFFFFF"/>
          <w:lang w:eastAsia="zh-CN"/>
        </w:rPr>
        <w:t>本部门2024年</w:t>
      </w:r>
      <w:r>
        <w:rPr>
          <w:rFonts w:ascii="方正仿宋_GBK" w:hAnsi="方正仿宋_GBK" w:eastAsia="方正仿宋_GBK" w:cs="方正仿宋_GBK"/>
          <w:color w:val="auto"/>
          <w:sz w:val="32"/>
          <w:szCs w:val="32"/>
          <w:shd w:val="clear" w:color="auto" w:fill="FFFFFF"/>
        </w:rPr>
        <w:t>度无国有资本经营预算财政拨款支出</w:t>
      </w:r>
      <w:bookmarkStart w:id="0" w:name="_GoBack"/>
      <w:bookmarkEnd w:id="0"/>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color w:val="auto"/>
          <w:sz w:val="32"/>
          <w:szCs w:val="32"/>
          <w:shd w:val="clear" w:color="auto" w:fill="FFFFFF"/>
        </w:rPr>
      </w:pPr>
      <w:r>
        <w:rPr>
          <w:rStyle w:val="14"/>
          <w:rFonts w:hint="eastAsia" w:ascii="宋体" w:hAnsi="宋体" w:eastAsia="方正黑体_GBK" w:cs="方正黑体_GBK"/>
          <w:b w:val="0"/>
          <w:color w:val="auto"/>
          <w:sz w:val="32"/>
          <w:szCs w:val="32"/>
          <w:shd w:val="clear" w:color="auto" w:fill="FFFFFF"/>
          <w:lang w:val="en-US" w:eastAsia="zh-CN"/>
        </w:rPr>
        <w:t>三、</w:t>
      </w:r>
      <w:r>
        <w:rPr>
          <w:rStyle w:val="14"/>
          <w:rFonts w:hint="eastAsia" w:ascii="宋体" w:hAnsi="宋体" w:eastAsia="方正黑体_GBK" w:cs="方正黑体_GBK"/>
          <w:b w:val="0"/>
          <w:color w:val="auto"/>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2024年度“三公”经费支出共计16.34万元，较年初预算数减少6.66万元，下降28.96%，主要原因是</w:t>
      </w:r>
      <w:r>
        <w:rPr>
          <w:rFonts w:hint="eastAsia" w:ascii="宋体" w:hAnsi="宋体" w:eastAsia="方正仿宋_GBK" w:cs="方正仿宋_GBK"/>
          <w:color w:val="auto"/>
          <w:kern w:val="2"/>
          <w:sz w:val="32"/>
          <w:szCs w:val="22"/>
          <w:lang w:val="en-US" w:eastAsia="zh-CN" w:bidi="ar-SA"/>
        </w:rPr>
        <w:t>认真贯彻落实中央八项规定精神，按照只减不增的要求从严控制“三公”经费</w:t>
      </w:r>
      <w:r>
        <w:rPr>
          <w:rFonts w:hint="eastAsia" w:ascii="宋体" w:hAnsi="宋体" w:eastAsia="方正仿宋_GBK" w:cs="方正仿宋_GBK"/>
          <w:color w:val="auto"/>
          <w:sz w:val="32"/>
          <w:lang w:val="en-US" w:eastAsia="zh-CN"/>
        </w:rPr>
        <w:t>。较上年支出数增加2.4万元，增长17.22%，主要原因是产生了因公出国（境）费用。</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因公出国（境）费用3.94万元，主要用于区委组团出国考察工作。费用支出较年初预算数增加3.94万元，较上年支出数增加3.94万元，增长100%，主要原因是因工作安排，参加区委组团的出国考察工作。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kern w:val="2"/>
          <w:sz w:val="32"/>
          <w:szCs w:val="22"/>
          <w:lang w:val="en-US" w:eastAsia="zh-CN" w:bidi="ar-SA"/>
        </w:rPr>
      </w:pPr>
      <w:r>
        <w:rPr>
          <w:rFonts w:hint="eastAsia" w:ascii="宋体" w:hAnsi="宋体" w:eastAsia="方正仿宋_GBK" w:cs="方正仿宋_GBK"/>
          <w:color w:val="auto"/>
          <w:sz w:val="32"/>
          <w:lang w:val="en-US" w:eastAsia="zh-CN"/>
        </w:rPr>
        <w:t>公务车购置费用0万元，</w:t>
      </w:r>
      <w:r>
        <w:rPr>
          <w:rFonts w:hint="eastAsia" w:ascii="宋体" w:hAnsi="宋体" w:eastAsia="方正仿宋_GBK" w:cs="方正仿宋_GBK"/>
          <w:color w:val="auto"/>
          <w:kern w:val="2"/>
          <w:sz w:val="32"/>
          <w:szCs w:val="22"/>
          <w:lang w:val="en-US" w:eastAsia="zh-CN" w:bidi="ar-SA"/>
        </w:rPr>
        <w:t>与年初预算数和上年支出数持平。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公务车运行维护费9.94万元，主要用于</w:t>
      </w:r>
      <w:r>
        <w:rPr>
          <w:rFonts w:hint="eastAsia" w:ascii="宋体" w:hAnsi="宋体" w:eastAsia="方正仿宋_GBK" w:cs="方正仿宋_GBK"/>
          <w:color w:val="auto"/>
          <w:kern w:val="2"/>
          <w:sz w:val="32"/>
          <w:szCs w:val="22"/>
          <w:lang w:val="en-US" w:eastAsia="zh-CN" w:bidi="ar-SA"/>
        </w:rPr>
        <w:t>机要文件交换、市内因公出行、业务检查等工作所需车辆的燃料费、维修费、过桥过路费、保险费等</w:t>
      </w:r>
      <w:r>
        <w:rPr>
          <w:rFonts w:hint="eastAsia" w:ascii="宋体" w:hAnsi="宋体" w:eastAsia="方正仿宋_GBK" w:cs="方正仿宋_GBK"/>
          <w:color w:val="auto"/>
          <w:sz w:val="32"/>
          <w:lang w:val="en-US" w:eastAsia="zh-CN"/>
        </w:rPr>
        <w:t>。费用支出较年初预算数减少8.06万元，主要原因是</w:t>
      </w:r>
      <w:r>
        <w:rPr>
          <w:rFonts w:hint="eastAsia" w:ascii="宋体" w:hAnsi="宋体" w:eastAsia="方正仿宋_GBK" w:cs="方正仿宋_GBK"/>
          <w:color w:val="auto"/>
          <w:sz w:val="32"/>
          <w:lang w:val="en-US" w:eastAsia="zh-CN" w:bidi="ar-SA"/>
        </w:rPr>
        <w:t>严格落实公车使用规定，合理安排公车出行</w:t>
      </w:r>
      <w:r>
        <w:rPr>
          <w:rFonts w:hint="eastAsia" w:ascii="宋体" w:hAnsi="宋体" w:eastAsia="方正仿宋_GBK" w:cs="方正仿宋_GBK"/>
          <w:color w:val="auto"/>
          <w:sz w:val="32"/>
          <w:lang w:val="en-US" w:eastAsia="zh-CN"/>
        </w:rPr>
        <w:t>。较上年支出数增加0.52万元，增长5.52%，主要原因是公务车使用年限较长，车辆运行维护费增加。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公务接待费2.46万元，主要用于</w:t>
      </w:r>
      <w:r>
        <w:rPr>
          <w:rFonts w:hint="eastAsia" w:ascii="宋体" w:hAnsi="宋体" w:eastAsia="方正仿宋_GBK" w:cs="方正仿宋_GBK"/>
          <w:color w:val="auto"/>
          <w:kern w:val="2"/>
          <w:sz w:val="32"/>
          <w:szCs w:val="22"/>
          <w:lang w:val="en-US" w:eastAsia="zh-CN" w:bidi="ar-SA"/>
        </w:rPr>
        <w:t>接待上级部门检查指导工作、接待其他区县部门到我委学习调研等发生的公务接待支出</w:t>
      </w:r>
      <w:r>
        <w:rPr>
          <w:rFonts w:hint="eastAsia" w:ascii="宋体" w:hAnsi="宋体" w:eastAsia="方正仿宋_GBK" w:cs="方正仿宋_GBK"/>
          <w:color w:val="auto"/>
          <w:sz w:val="32"/>
          <w:lang w:val="en-US" w:eastAsia="zh-CN"/>
        </w:rPr>
        <w:t>。费用支出较年初预算数减少2.54万元，较上年支出数减少2.06万元，下降45.58%，主要原因是接待上级部门检查指导工作、接待其他区县部门到本单位学习调研等减少。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color w:val="auto"/>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1人；公务用车购置0辆，公务车保有量为3辆；国内公务接待39批次273人，其中：国内外事接待0批次，0人；国（境）外公务接待0批次，0人。人均接待费90.13元，车均购置费0万元，车均维护费3.31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color w:val="auto"/>
          <w:sz w:val="32"/>
          <w:szCs w:val="32"/>
          <w:shd w:val="clear" w:color="auto" w:fill="FFFFFF"/>
        </w:rPr>
      </w:pPr>
      <w:r>
        <w:rPr>
          <w:rStyle w:val="14"/>
          <w:rFonts w:hint="eastAsia" w:ascii="宋体" w:hAnsi="宋体" w:eastAsia="方正黑体_GBK" w:cs="方正黑体_GBK"/>
          <w:b w:val="0"/>
          <w:color w:val="auto"/>
          <w:sz w:val="32"/>
          <w:szCs w:val="32"/>
          <w:shd w:val="clear" w:color="auto" w:fill="FFFFFF"/>
          <w:lang w:val="en-US" w:eastAsia="zh-CN"/>
        </w:rPr>
        <w:t>四、</w:t>
      </w:r>
      <w:r>
        <w:rPr>
          <w:rStyle w:val="14"/>
          <w:rFonts w:hint="eastAsia" w:ascii="宋体" w:hAnsi="宋体" w:eastAsia="方正黑体_GBK" w:cs="方正黑体_GBK"/>
          <w:b w:val="0"/>
          <w:color w:val="auto"/>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2024</w:t>
      </w:r>
      <w:r>
        <w:rPr>
          <w:rFonts w:ascii="方正仿宋_GBK" w:hAnsi="方正仿宋_GBK" w:eastAsia="方正仿宋_GBK" w:cs="方正仿宋_GBK"/>
          <w:color w:val="auto"/>
          <w:sz w:val="32"/>
          <w:szCs w:val="32"/>
          <w:shd w:val="clear" w:color="auto" w:fill="FFFFFF"/>
        </w:rPr>
        <w:t>年度会议费支出</w:t>
      </w:r>
      <w:r>
        <w:rPr>
          <w:rFonts w:hint="eastAsia" w:ascii="方正仿宋_GBK" w:hAnsi="方正仿宋_GBK" w:eastAsia="方正仿宋_GBK" w:cs="方正仿宋_GBK"/>
          <w:color w:val="auto"/>
          <w:sz w:val="32"/>
          <w:szCs w:val="32"/>
          <w:lang w:val="en-US" w:eastAsia="zh-CN"/>
        </w:rPr>
        <w:t>13.42</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较上年增加</w:t>
      </w:r>
      <w:r>
        <w:rPr>
          <w:rFonts w:hint="eastAsia" w:ascii="方正仿宋_GBK" w:hAnsi="方正仿宋_GBK" w:eastAsia="方正仿宋_GBK" w:cs="方正仿宋_GBK"/>
          <w:color w:val="auto"/>
          <w:sz w:val="32"/>
          <w:szCs w:val="32"/>
          <w:shd w:val="clear" w:color="auto" w:fill="FFFFFF"/>
          <w:lang w:val="en-US" w:eastAsia="zh-CN"/>
        </w:rPr>
        <w:t>6.54</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95.06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召开了川南渝西融合发展试验区联席会等会议</w:t>
      </w:r>
      <w:r>
        <w:rPr>
          <w:rFonts w:ascii="方正仿宋_GBK" w:hAnsi="方正仿宋_GBK" w:eastAsia="方正仿宋_GBK" w:cs="方正仿宋_GBK"/>
          <w:color w:val="auto"/>
          <w:sz w:val="32"/>
          <w:szCs w:val="32"/>
          <w:shd w:val="clear" w:color="auto" w:fill="FFFFFF"/>
        </w:rPr>
        <w:t>。本年度培训费支出</w:t>
      </w:r>
      <w:r>
        <w:rPr>
          <w:rFonts w:hint="eastAsia" w:ascii="方正仿宋_GBK" w:hAnsi="方正仿宋_GBK" w:eastAsia="方正仿宋_GBK" w:cs="方正仿宋_GBK"/>
          <w:color w:val="auto"/>
          <w:sz w:val="32"/>
          <w:szCs w:val="32"/>
          <w:lang w:val="en-US" w:eastAsia="zh-CN"/>
        </w:rPr>
        <w:t>17.59</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较上年减少</w:t>
      </w:r>
      <w:r>
        <w:rPr>
          <w:rFonts w:hint="eastAsia" w:ascii="方正仿宋_GBK" w:hAnsi="方正仿宋_GBK" w:eastAsia="方正仿宋_GBK" w:cs="方正仿宋_GBK"/>
          <w:color w:val="auto"/>
          <w:sz w:val="32"/>
          <w:szCs w:val="32"/>
          <w:shd w:val="clear" w:color="auto" w:fill="FFFFFF"/>
          <w:lang w:val="en-US" w:eastAsia="zh-CN"/>
        </w:rPr>
        <w:t>15.21</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方正仿宋_GBK" w:hAnsi="方正仿宋_GBK" w:eastAsia="方正仿宋_GBK" w:cs="方正仿宋_GBK"/>
          <w:color w:val="auto"/>
          <w:sz w:val="32"/>
          <w:szCs w:val="32"/>
          <w:shd w:val="clear" w:color="auto" w:fill="FFFFFF"/>
          <w:lang w:val="en-US" w:eastAsia="zh-CN"/>
        </w:rPr>
        <w:t>46.37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未开展革命传统教育等培训</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202</w:t>
      </w:r>
      <w:r>
        <w:rPr>
          <w:rFonts w:hint="eastAsia" w:ascii="宋体" w:hAnsi="宋体" w:eastAsia="方正仿宋_GBK" w:cs="方正仿宋_GBK"/>
          <w:color w:val="auto"/>
          <w:kern w:val="0"/>
          <w:sz w:val="32"/>
          <w:szCs w:val="32"/>
          <w:lang w:val="en-US" w:eastAsia="zh-CN"/>
        </w:rPr>
        <w:t>4</w:t>
      </w:r>
      <w:r>
        <w:rPr>
          <w:rFonts w:hint="eastAsia" w:ascii="宋体" w:hAnsi="宋体" w:eastAsia="方正仿宋_GBK" w:cs="方正仿宋_GBK"/>
          <w:color w:val="auto"/>
          <w:kern w:val="0"/>
          <w:sz w:val="32"/>
          <w:szCs w:val="32"/>
        </w:rPr>
        <w:t>年度本</w:t>
      </w:r>
      <w:r>
        <w:rPr>
          <w:rFonts w:hint="eastAsia" w:ascii="宋体" w:hAnsi="宋体" w:eastAsia="方正仿宋_GBK" w:cs="方正仿宋_GBK"/>
          <w:color w:val="auto"/>
          <w:kern w:val="0"/>
          <w:sz w:val="32"/>
          <w:szCs w:val="32"/>
          <w:lang w:val="en-US" w:eastAsia="zh-CN"/>
        </w:rPr>
        <w:t>部门</w:t>
      </w:r>
      <w:r>
        <w:rPr>
          <w:rFonts w:hint="eastAsia" w:ascii="宋体" w:hAnsi="宋体" w:eastAsia="方正仿宋_GBK" w:cs="方正仿宋_GBK"/>
          <w:color w:val="auto"/>
          <w:kern w:val="0"/>
          <w:sz w:val="32"/>
          <w:szCs w:val="32"/>
        </w:rPr>
        <w:t>机关运行经费支出</w:t>
      </w:r>
      <w:r>
        <w:rPr>
          <w:rFonts w:hint="eastAsia" w:ascii="宋体" w:hAnsi="宋体" w:eastAsia="方正仿宋_GBK" w:cs="方正仿宋_GBK"/>
          <w:color w:val="auto"/>
          <w:kern w:val="0"/>
          <w:sz w:val="32"/>
          <w:szCs w:val="32"/>
          <w:lang w:val="en-US" w:eastAsia="zh-CN"/>
        </w:rPr>
        <w:t>165.63</w:t>
      </w:r>
      <w:r>
        <w:rPr>
          <w:rFonts w:hint="eastAsia" w:ascii="宋体" w:hAnsi="宋体" w:eastAsia="方正仿宋_GBK" w:cs="方正仿宋_GBK"/>
          <w:color w:val="auto"/>
          <w:kern w:val="0"/>
          <w:sz w:val="32"/>
          <w:szCs w:val="32"/>
        </w:rPr>
        <w:t>万元，</w:t>
      </w:r>
      <w:r>
        <w:rPr>
          <w:rFonts w:hint="eastAsia" w:ascii="宋体" w:hAnsi="宋体" w:eastAsia="方正仿宋_GBK" w:cs="方正仿宋_GBK"/>
          <w:color w:val="auto"/>
          <w:kern w:val="0"/>
          <w:sz w:val="32"/>
          <w:szCs w:val="32"/>
          <w:lang w:val="en-US" w:eastAsia="zh-CN"/>
        </w:rPr>
        <w:t>较上年</w:t>
      </w:r>
      <w:r>
        <w:rPr>
          <w:rFonts w:hint="eastAsia" w:ascii="宋体" w:hAnsi="宋体" w:eastAsia="方正仿宋_GBK" w:cs="方正仿宋_GBK"/>
          <w:color w:val="auto"/>
          <w:kern w:val="0"/>
          <w:sz w:val="32"/>
          <w:szCs w:val="32"/>
          <w:lang w:eastAsia="zh-CN"/>
        </w:rPr>
        <w:t>减少</w:t>
      </w:r>
      <w:r>
        <w:rPr>
          <w:rFonts w:hint="eastAsia" w:ascii="宋体" w:hAnsi="宋体" w:eastAsia="方正仿宋_GBK" w:cs="方正仿宋_GBK"/>
          <w:color w:val="auto"/>
          <w:kern w:val="0"/>
          <w:sz w:val="32"/>
          <w:szCs w:val="32"/>
          <w:lang w:val="en-US" w:eastAsia="zh-CN"/>
        </w:rPr>
        <w:t>24.13</w:t>
      </w:r>
      <w:r>
        <w:rPr>
          <w:rFonts w:hint="eastAsia" w:ascii="宋体" w:hAnsi="宋体" w:eastAsia="方正仿宋_GBK" w:cs="方正仿宋_GBK"/>
          <w:color w:val="auto"/>
          <w:kern w:val="0"/>
          <w:sz w:val="32"/>
          <w:szCs w:val="32"/>
        </w:rPr>
        <w:t>万元，</w:t>
      </w:r>
      <w:r>
        <w:rPr>
          <w:rFonts w:hint="eastAsia" w:ascii="宋体" w:hAnsi="宋体" w:eastAsia="方正仿宋_GBK" w:cs="方正仿宋_GBK"/>
          <w:color w:val="auto"/>
          <w:kern w:val="0"/>
          <w:sz w:val="32"/>
          <w:szCs w:val="32"/>
          <w:lang w:eastAsia="zh-CN"/>
        </w:rPr>
        <w:t>下降</w:t>
      </w:r>
      <w:r>
        <w:rPr>
          <w:rFonts w:hint="eastAsia" w:ascii="宋体" w:hAnsi="宋体" w:eastAsia="方正仿宋_GBK" w:cs="方正仿宋_GBK"/>
          <w:color w:val="auto"/>
          <w:kern w:val="0"/>
          <w:sz w:val="32"/>
          <w:szCs w:val="32"/>
          <w:lang w:val="en-US" w:eastAsia="zh-CN"/>
        </w:rPr>
        <w:t>12.72</w:t>
      </w:r>
      <w:r>
        <w:rPr>
          <w:rFonts w:hint="eastAsia" w:ascii="宋体" w:hAnsi="宋体" w:eastAsia="方正仿宋_GBK" w:cs="方正仿宋_GBK"/>
          <w:color w:val="auto"/>
          <w:kern w:val="0"/>
          <w:sz w:val="32"/>
          <w:szCs w:val="32"/>
        </w:rPr>
        <w:t>%，主要原因是</w:t>
      </w:r>
      <w:r>
        <w:rPr>
          <w:rFonts w:hint="eastAsia" w:ascii="宋体" w:hAnsi="宋体" w:eastAsia="方正仿宋_GBK" w:cs="方正仿宋_GBK"/>
          <w:color w:val="auto"/>
          <w:kern w:val="0"/>
          <w:sz w:val="32"/>
          <w:szCs w:val="32"/>
          <w:lang w:val="en-US" w:eastAsia="zh-CN"/>
        </w:rPr>
        <w:t>人员变动</w:t>
      </w:r>
      <w:r>
        <w:rPr>
          <w:rFonts w:hint="eastAsia" w:ascii="宋体" w:hAnsi="宋体" w:eastAsia="方正仿宋_GBK" w:cs="方正仿宋_GBK"/>
          <w:color w:val="auto"/>
          <w:kern w:val="0"/>
          <w:sz w:val="32"/>
          <w:szCs w:val="32"/>
        </w:rPr>
        <w:t>。比年初预算数</w:t>
      </w:r>
      <w:r>
        <w:rPr>
          <w:rFonts w:hint="eastAsia" w:ascii="宋体" w:hAnsi="宋体" w:eastAsia="方正仿宋_GBK" w:cs="方正仿宋_GBK"/>
          <w:color w:val="auto"/>
          <w:kern w:val="0"/>
          <w:sz w:val="32"/>
          <w:szCs w:val="32"/>
          <w:lang w:eastAsia="zh-CN"/>
        </w:rPr>
        <w:t>减少</w:t>
      </w:r>
      <w:r>
        <w:rPr>
          <w:rFonts w:hint="eastAsia" w:ascii="宋体" w:hAnsi="宋体" w:eastAsia="方正仿宋_GBK" w:cs="方正仿宋_GBK"/>
          <w:color w:val="auto"/>
          <w:kern w:val="0"/>
          <w:sz w:val="32"/>
          <w:szCs w:val="32"/>
          <w:lang w:val="en-US" w:eastAsia="zh-CN"/>
        </w:rPr>
        <w:t>43.2</w:t>
      </w:r>
      <w:r>
        <w:rPr>
          <w:rFonts w:hint="eastAsia" w:ascii="宋体" w:hAnsi="宋体" w:eastAsia="方正仿宋_GBK" w:cs="方正仿宋_GBK"/>
          <w:color w:val="auto"/>
          <w:kern w:val="0"/>
          <w:sz w:val="32"/>
          <w:szCs w:val="32"/>
        </w:rPr>
        <w:t>万元，</w:t>
      </w:r>
      <w:r>
        <w:rPr>
          <w:rFonts w:hint="eastAsia" w:ascii="宋体" w:hAnsi="宋体" w:eastAsia="方正仿宋_GBK" w:cs="方正仿宋_GBK"/>
          <w:color w:val="auto"/>
          <w:kern w:val="0"/>
          <w:sz w:val="32"/>
          <w:szCs w:val="32"/>
          <w:lang w:eastAsia="zh-CN"/>
        </w:rPr>
        <w:t>下降</w:t>
      </w:r>
      <w:r>
        <w:rPr>
          <w:rFonts w:hint="eastAsia" w:ascii="宋体" w:hAnsi="宋体" w:eastAsia="方正仿宋_GBK" w:cs="方正仿宋_GBK"/>
          <w:color w:val="auto"/>
          <w:kern w:val="0"/>
          <w:sz w:val="32"/>
          <w:szCs w:val="32"/>
          <w:lang w:val="en-US" w:eastAsia="zh-CN"/>
        </w:rPr>
        <w:t>20.69</w:t>
      </w:r>
      <w:r>
        <w:rPr>
          <w:rFonts w:hint="eastAsia" w:ascii="宋体" w:hAnsi="宋体" w:eastAsia="方正仿宋_GBK" w:cs="方正仿宋_GBK"/>
          <w:color w:val="auto"/>
          <w:kern w:val="0"/>
          <w:sz w:val="32"/>
          <w:szCs w:val="32"/>
        </w:rPr>
        <w:t>%，主要原因是</w:t>
      </w:r>
      <w:r>
        <w:rPr>
          <w:rFonts w:hint="eastAsia" w:ascii="宋体" w:hAnsi="宋体" w:eastAsia="方正仿宋_GBK" w:cs="方正仿宋_GBK"/>
          <w:color w:val="auto"/>
          <w:kern w:val="0"/>
          <w:sz w:val="32"/>
          <w:szCs w:val="32"/>
          <w:lang w:val="en-US" w:eastAsia="zh-CN"/>
        </w:rPr>
        <w:t>人员变动</w:t>
      </w:r>
      <w:r>
        <w:rPr>
          <w:rFonts w:hint="eastAsia" w:ascii="宋体" w:hAnsi="宋体" w:eastAsia="方正仿宋_GBK" w:cs="方正仿宋_GBK"/>
          <w:color w:val="auto"/>
          <w:kern w:val="0"/>
          <w:sz w:val="32"/>
          <w:szCs w:val="32"/>
        </w:rPr>
        <w:t>。机关运</w:t>
      </w:r>
      <w:r>
        <w:rPr>
          <w:rFonts w:hint="eastAsia" w:ascii="宋体" w:hAnsi="宋体" w:eastAsia="方正仿宋_GBK" w:cs="方正仿宋_GBK"/>
          <w:color w:val="auto"/>
          <w:kern w:val="0"/>
          <w:sz w:val="32"/>
          <w:szCs w:val="32"/>
          <w:lang w:eastAsia="zh-CN"/>
        </w:rPr>
        <w:t>行</w:t>
      </w:r>
      <w:r>
        <w:rPr>
          <w:rFonts w:hint="eastAsia" w:ascii="宋体" w:hAnsi="宋体" w:eastAsia="方正仿宋_GBK" w:cs="方正仿宋_GBK"/>
          <w:color w:val="auto"/>
          <w:kern w:val="0"/>
          <w:sz w:val="32"/>
          <w:szCs w:val="32"/>
        </w:rPr>
        <w:t>经费主要用于</w:t>
      </w:r>
      <w:r>
        <w:rPr>
          <w:rFonts w:hint="eastAsia" w:ascii="宋体" w:hAnsi="宋体" w:eastAsia="方正仿宋_GBK" w:cs="方正仿宋_GBK"/>
          <w:color w:val="auto"/>
          <w:sz w:val="32"/>
          <w:lang w:val="en-US" w:eastAsia="zh-CN"/>
        </w:rPr>
        <w:t>办公费、邮电费、差旅费、培训费、工会经费、福利费、公务用车运行维护费、其他交通费、其他商品和服务支出等</w:t>
      </w:r>
      <w:r>
        <w:rPr>
          <w:rFonts w:hint="eastAsia" w:ascii="宋体" w:hAnsi="宋体" w:eastAsia="方正仿宋_GBK" w:cs="方正仿宋_GBK"/>
          <w:color w:val="auto"/>
          <w:kern w:val="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截至202</w:t>
      </w:r>
      <w:r>
        <w:rPr>
          <w:rFonts w:hint="eastAsia" w:ascii="宋体" w:hAnsi="宋体" w:eastAsia="方正仿宋_GBK" w:cs="方正仿宋_GBK"/>
          <w:color w:val="auto"/>
          <w:kern w:val="0"/>
          <w:sz w:val="32"/>
          <w:szCs w:val="32"/>
          <w:lang w:val="en-US" w:eastAsia="zh-CN"/>
        </w:rPr>
        <w:t>4</w:t>
      </w:r>
      <w:r>
        <w:rPr>
          <w:rFonts w:hint="eastAsia" w:ascii="宋体" w:hAnsi="宋体" w:eastAsia="方正仿宋_GBK" w:cs="方正仿宋_GBK"/>
          <w:color w:val="auto"/>
          <w:kern w:val="0"/>
          <w:sz w:val="32"/>
          <w:szCs w:val="32"/>
        </w:rPr>
        <w:t>年12月31日，本部门共有车辆</w:t>
      </w:r>
      <w:r>
        <w:rPr>
          <w:rFonts w:hint="eastAsia" w:ascii="宋体" w:hAnsi="宋体" w:eastAsia="方正仿宋_GBK" w:cs="方正仿宋_GBK"/>
          <w:color w:val="auto"/>
          <w:kern w:val="0"/>
          <w:sz w:val="32"/>
          <w:szCs w:val="32"/>
          <w:lang w:val="en-US" w:eastAsia="zh-CN"/>
        </w:rPr>
        <w:t>3</w:t>
      </w:r>
      <w:r>
        <w:rPr>
          <w:rFonts w:hint="eastAsia" w:ascii="宋体" w:hAnsi="宋体" w:eastAsia="方正仿宋_GBK" w:cs="方正仿宋_GBK"/>
          <w:color w:val="auto"/>
          <w:kern w:val="0"/>
          <w:sz w:val="32"/>
          <w:szCs w:val="32"/>
        </w:rPr>
        <w:t>辆。其中：机要通信用车</w:t>
      </w:r>
      <w:r>
        <w:rPr>
          <w:rFonts w:hint="eastAsia" w:ascii="宋体" w:hAnsi="宋体" w:eastAsia="方正仿宋_GBK" w:cs="方正仿宋_GBK"/>
          <w:color w:val="auto"/>
          <w:kern w:val="0"/>
          <w:sz w:val="32"/>
          <w:szCs w:val="32"/>
          <w:lang w:val="en-US" w:eastAsia="zh-CN"/>
        </w:rPr>
        <w:t>3</w:t>
      </w:r>
      <w:r>
        <w:rPr>
          <w:rFonts w:hint="eastAsia" w:ascii="宋体" w:hAnsi="宋体" w:eastAsia="方正仿宋_GBK" w:cs="方正仿宋_GBK"/>
          <w:color w:val="auto"/>
          <w:kern w:val="0"/>
          <w:sz w:val="32"/>
          <w:szCs w:val="32"/>
        </w:rPr>
        <w:t>辆。单价100万元（含）以上设备</w:t>
      </w:r>
      <w:r>
        <w:rPr>
          <w:rFonts w:hint="eastAsia" w:ascii="宋体" w:hAnsi="宋体"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不含车辆</w:t>
      </w:r>
      <w:r>
        <w:rPr>
          <w:rFonts w:hint="eastAsia" w:ascii="宋体" w:hAnsi="宋体"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0</w:t>
      </w:r>
      <w:r>
        <w:rPr>
          <w:rFonts w:hint="eastAsia" w:ascii="宋体" w:hAnsi="宋体" w:eastAsia="方正仿宋_GBK" w:cs="方正仿宋_GBK"/>
          <w:color w:val="auto"/>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kern w:val="0"/>
          <w:sz w:val="32"/>
          <w:szCs w:val="32"/>
        </w:rPr>
        <w:t>202</w:t>
      </w:r>
      <w:r>
        <w:rPr>
          <w:rFonts w:hint="eastAsia" w:ascii="宋体" w:hAnsi="宋体" w:eastAsia="方正仿宋_GBK" w:cs="方正仿宋_GBK"/>
          <w:color w:val="auto"/>
          <w:kern w:val="0"/>
          <w:sz w:val="32"/>
          <w:szCs w:val="32"/>
          <w:lang w:val="en-US" w:eastAsia="zh-CN"/>
        </w:rPr>
        <w:t>4</w:t>
      </w:r>
      <w:r>
        <w:rPr>
          <w:rFonts w:hint="eastAsia" w:ascii="宋体" w:hAnsi="宋体" w:eastAsia="方正仿宋_GBK" w:cs="方正仿宋_GBK"/>
          <w:color w:val="auto"/>
          <w:kern w:val="0"/>
          <w:sz w:val="32"/>
          <w:szCs w:val="32"/>
        </w:rPr>
        <w:t>年度本部门政府采购支出总额</w:t>
      </w:r>
      <w:r>
        <w:rPr>
          <w:rFonts w:hint="eastAsia" w:ascii="宋体" w:hAnsi="宋体" w:eastAsia="方正仿宋_GBK" w:cs="方正仿宋_GBK"/>
          <w:color w:val="auto"/>
          <w:kern w:val="0"/>
          <w:sz w:val="32"/>
          <w:szCs w:val="32"/>
          <w:lang w:val="en-US" w:eastAsia="zh-CN"/>
        </w:rPr>
        <w:t>2.58</w:t>
      </w:r>
      <w:r>
        <w:rPr>
          <w:rFonts w:hint="eastAsia" w:ascii="宋体" w:hAnsi="宋体" w:eastAsia="方正仿宋_GBK" w:cs="方正仿宋_GBK"/>
          <w:color w:val="auto"/>
          <w:kern w:val="0"/>
          <w:sz w:val="32"/>
          <w:szCs w:val="32"/>
        </w:rPr>
        <w:t>万元，其中：政府采购货物支出</w:t>
      </w:r>
      <w:r>
        <w:rPr>
          <w:rFonts w:hint="eastAsia" w:ascii="宋体" w:hAnsi="宋体" w:eastAsia="方正仿宋_GBK" w:cs="方正仿宋_GBK"/>
          <w:color w:val="auto"/>
          <w:kern w:val="0"/>
          <w:sz w:val="32"/>
          <w:szCs w:val="32"/>
          <w:lang w:val="en-US" w:eastAsia="zh-CN"/>
        </w:rPr>
        <w:t>2.58</w:t>
      </w:r>
      <w:r>
        <w:rPr>
          <w:rFonts w:hint="eastAsia" w:ascii="宋体" w:hAnsi="宋体" w:eastAsia="方正仿宋_GBK" w:cs="方正仿宋_GBK"/>
          <w:color w:val="auto"/>
          <w:kern w:val="0"/>
          <w:sz w:val="32"/>
          <w:szCs w:val="32"/>
        </w:rPr>
        <w:t>万元。授予中小企业合同金额</w:t>
      </w:r>
      <w:r>
        <w:rPr>
          <w:rFonts w:hint="eastAsia" w:ascii="宋体" w:hAnsi="宋体" w:eastAsia="方正仿宋_GBK" w:cs="方正仿宋_GBK"/>
          <w:color w:val="auto"/>
          <w:kern w:val="0"/>
          <w:sz w:val="32"/>
          <w:szCs w:val="32"/>
          <w:lang w:val="en-US" w:eastAsia="zh-CN"/>
        </w:rPr>
        <w:t>2.58</w:t>
      </w:r>
      <w:r>
        <w:rPr>
          <w:rFonts w:hint="eastAsia" w:ascii="宋体" w:hAnsi="宋体" w:eastAsia="方正仿宋_GBK" w:cs="方正仿宋_GBK"/>
          <w:color w:val="auto"/>
          <w:kern w:val="0"/>
          <w:sz w:val="32"/>
          <w:szCs w:val="32"/>
        </w:rPr>
        <w:t>万元，占政府采购支出总额的</w:t>
      </w:r>
      <w:r>
        <w:rPr>
          <w:rFonts w:hint="eastAsia" w:ascii="宋体" w:hAnsi="宋体" w:eastAsia="方正仿宋_GBK" w:cs="方正仿宋_GBK"/>
          <w:color w:val="auto"/>
          <w:kern w:val="0"/>
          <w:sz w:val="32"/>
          <w:szCs w:val="32"/>
          <w:lang w:val="en-US" w:eastAsia="zh-CN"/>
        </w:rPr>
        <w:t>100</w:t>
      </w:r>
      <w:r>
        <w:rPr>
          <w:rFonts w:hint="eastAsia" w:ascii="宋体" w:hAnsi="宋体" w:eastAsia="方正仿宋_GBK" w:cs="方正仿宋_GBK"/>
          <w:color w:val="auto"/>
          <w:kern w:val="0"/>
          <w:sz w:val="32"/>
          <w:szCs w:val="32"/>
        </w:rPr>
        <w:t>%，其中：授予小微企业合同金额</w:t>
      </w:r>
      <w:r>
        <w:rPr>
          <w:rFonts w:hint="eastAsia" w:ascii="宋体" w:hAnsi="宋体" w:eastAsia="方正仿宋_GBK" w:cs="方正仿宋_GBK"/>
          <w:color w:val="auto"/>
          <w:kern w:val="0"/>
          <w:sz w:val="32"/>
          <w:szCs w:val="32"/>
          <w:lang w:val="en-US" w:eastAsia="zh-CN"/>
        </w:rPr>
        <w:t>2.58</w:t>
      </w:r>
      <w:r>
        <w:rPr>
          <w:rFonts w:hint="eastAsia" w:ascii="宋体" w:hAnsi="宋体" w:eastAsia="方正仿宋_GBK" w:cs="方正仿宋_GBK"/>
          <w:color w:val="auto"/>
          <w:kern w:val="0"/>
          <w:sz w:val="32"/>
          <w:szCs w:val="32"/>
        </w:rPr>
        <w:t>万元，占政府采购支出总额的</w:t>
      </w:r>
      <w:r>
        <w:rPr>
          <w:rFonts w:hint="eastAsia" w:ascii="宋体" w:hAnsi="宋体" w:eastAsia="方正仿宋_GBK" w:cs="方正仿宋_GBK"/>
          <w:color w:val="auto"/>
          <w:kern w:val="0"/>
          <w:sz w:val="32"/>
          <w:szCs w:val="32"/>
          <w:lang w:val="en-US" w:eastAsia="zh-CN"/>
        </w:rPr>
        <w:t>100</w:t>
      </w:r>
      <w:r>
        <w:rPr>
          <w:rFonts w:hint="eastAsia" w:ascii="宋体" w:hAnsi="宋体" w:eastAsia="方正仿宋_GBK" w:cs="方正仿宋_GBK"/>
          <w:color w:val="auto"/>
          <w:kern w:val="0"/>
          <w:sz w:val="32"/>
          <w:szCs w:val="32"/>
        </w:rPr>
        <w:t>%。</w:t>
      </w:r>
      <w:r>
        <w:rPr>
          <w:rFonts w:hint="eastAsia" w:ascii="宋体" w:hAnsi="宋体" w:eastAsia="方正仿宋_GBK" w:cs="方正仿宋_GBK"/>
          <w:color w:val="auto"/>
          <w:sz w:val="32"/>
          <w:lang w:val="en-US" w:eastAsia="zh-CN"/>
        </w:rPr>
        <w:t>主要用于采购办公设备。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color w:val="auto"/>
          <w:sz w:val="32"/>
          <w:szCs w:val="32"/>
          <w:lang w:eastAsia="zh-CN"/>
        </w:rPr>
      </w:pPr>
      <w:r>
        <w:rPr>
          <w:rStyle w:val="8"/>
          <w:rFonts w:hint="eastAsia" w:ascii="宋体" w:hAnsi="宋体" w:eastAsia="方正黑体_GBK" w:cs="方正黑体_GBK"/>
          <w:b w:val="0"/>
          <w:bCs/>
          <w:color w:val="auto"/>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color w:val="auto"/>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color w:val="auto"/>
        </w:rPr>
      </w:pPr>
      <w:r>
        <w:rPr>
          <w:rFonts w:hint="eastAsia" w:ascii="宋体" w:hAnsi="宋体" w:eastAsia="方正仿宋_GBK" w:cs="方正仿宋_GBK"/>
          <w:color w:val="auto"/>
          <w:kern w:val="0"/>
          <w:sz w:val="32"/>
          <w:szCs w:val="32"/>
        </w:rPr>
        <w:t>根据预算绩效管理要求，</w:t>
      </w:r>
      <w:r>
        <w:rPr>
          <w:rFonts w:hint="eastAsia" w:ascii="宋体" w:hAnsi="宋体" w:eastAsia="方正仿宋_GBK" w:cs="方正仿宋_GBK"/>
          <w:color w:val="auto"/>
          <w:kern w:val="0"/>
          <w:sz w:val="32"/>
          <w:szCs w:val="32"/>
          <w:lang w:eastAsia="zh-CN"/>
        </w:rPr>
        <w:t>本部门</w:t>
      </w:r>
      <w:r>
        <w:rPr>
          <w:rFonts w:hint="eastAsia" w:ascii="宋体" w:hAnsi="宋体" w:eastAsia="方正仿宋_GBK" w:cs="方正仿宋_GBK"/>
          <w:color w:val="auto"/>
          <w:kern w:val="0"/>
          <w:sz w:val="32"/>
          <w:szCs w:val="32"/>
        </w:rPr>
        <w:t>对部门整体和</w:t>
      </w:r>
      <w:r>
        <w:rPr>
          <w:rFonts w:hint="eastAsia" w:ascii="宋体" w:hAnsi="宋体" w:eastAsia="方正仿宋_GBK" w:cs="方正仿宋_GBK"/>
          <w:color w:val="auto"/>
          <w:kern w:val="0"/>
          <w:sz w:val="32"/>
          <w:szCs w:val="32"/>
          <w:lang w:val="en-US" w:eastAsia="zh-CN"/>
        </w:rPr>
        <w:t>15</w:t>
      </w:r>
      <w:r>
        <w:rPr>
          <w:rFonts w:hint="eastAsia" w:ascii="宋体" w:hAnsi="宋体" w:eastAsia="方正仿宋_GBK" w:cs="方正仿宋_GBK"/>
          <w:color w:val="auto"/>
          <w:kern w:val="0"/>
          <w:sz w:val="32"/>
          <w:szCs w:val="32"/>
        </w:rPr>
        <w:t>个项目开展了绩效自评，其中，以填报目标自评表形式开展自评</w:t>
      </w:r>
      <w:r>
        <w:rPr>
          <w:rFonts w:hint="eastAsia" w:ascii="宋体" w:hAnsi="宋体" w:eastAsia="方正仿宋_GBK" w:cs="方正仿宋_GBK"/>
          <w:color w:val="auto"/>
          <w:kern w:val="0"/>
          <w:sz w:val="32"/>
          <w:szCs w:val="32"/>
          <w:lang w:val="en-US" w:eastAsia="zh-CN"/>
        </w:rPr>
        <w:t>15</w:t>
      </w:r>
      <w:r>
        <w:rPr>
          <w:rFonts w:hint="eastAsia" w:ascii="宋体" w:hAnsi="宋体" w:eastAsia="方正仿宋_GBK" w:cs="方正仿宋_GBK"/>
          <w:color w:val="auto"/>
          <w:kern w:val="0"/>
          <w:sz w:val="32"/>
          <w:szCs w:val="32"/>
        </w:rPr>
        <w:t>项，涉及资金</w:t>
      </w:r>
      <w:r>
        <w:rPr>
          <w:rFonts w:hint="eastAsia" w:ascii="宋体" w:hAnsi="宋体" w:eastAsia="方正仿宋_GBK" w:cs="方正仿宋_GBK"/>
          <w:color w:val="auto"/>
          <w:kern w:val="0"/>
          <w:sz w:val="32"/>
          <w:szCs w:val="32"/>
          <w:lang w:val="en-US" w:eastAsia="zh-CN"/>
        </w:rPr>
        <w:t>1363.66</w:t>
      </w:r>
      <w:r>
        <w:rPr>
          <w:rFonts w:hint="eastAsia" w:ascii="宋体" w:hAnsi="宋体" w:eastAsia="方正仿宋_GBK" w:cs="方正仿宋_GBK"/>
          <w:color w:val="auto"/>
          <w:kern w:val="0"/>
          <w:sz w:val="32"/>
          <w:szCs w:val="32"/>
        </w:rPr>
        <w:t>万元</w:t>
      </w:r>
      <w:r>
        <w:rPr>
          <w:rFonts w:hint="eastAsia" w:ascii="宋体" w:hAnsi="宋体" w:eastAsia="方正仿宋_GBK" w:cs="方正仿宋_GBK"/>
          <w:color w:val="auto"/>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b/>
          <w:bCs/>
          <w:color w:val="auto"/>
          <w:sz w:val="32"/>
          <w:lang w:val="en-US" w:eastAsia="zh-CN"/>
        </w:rPr>
        <w:t>1. 绩效目标自评表</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auto"/>
          <w:kern w:val="0"/>
          <w:sz w:val="36"/>
          <w:szCs w:val="36"/>
        </w:rPr>
      </w:pPr>
      <w:r>
        <w:rPr>
          <w:rFonts w:hint="eastAsia" w:ascii="方正黑体_GBK" w:hAnsi="方正黑体_GBK" w:eastAsia="方正黑体_GBK" w:cs="方正黑体_GBK"/>
          <w:b w:val="0"/>
          <w:bCs w:val="0"/>
          <w:color w:val="auto"/>
          <w:kern w:val="0"/>
          <w:sz w:val="36"/>
          <w:szCs w:val="36"/>
          <w:lang w:val="en-US" w:eastAsia="zh-CN"/>
        </w:rPr>
        <w:t>2024年度部门整体</w:t>
      </w:r>
      <w:r>
        <w:rPr>
          <w:rFonts w:hint="eastAsia" w:ascii="方正黑体_GBK" w:hAnsi="方正黑体_GBK" w:eastAsia="方正黑体_GBK" w:cs="方正黑体_GBK"/>
          <w:b w:val="0"/>
          <w:bCs w:val="0"/>
          <w:color w:val="auto"/>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073"/>
        <w:gridCol w:w="660"/>
        <w:gridCol w:w="440"/>
        <w:gridCol w:w="366"/>
        <w:gridCol w:w="342"/>
        <w:gridCol w:w="704"/>
        <w:gridCol w:w="153"/>
        <w:gridCol w:w="1255"/>
        <w:gridCol w:w="816"/>
        <w:gridCol w:w="1404"/>
        <w:gridCol w:w="12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项目</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名称</w:t>
            </w:r>
          </w:p>
        </w:tc>
        <w:tc>
          <w:tcPr>
            <w:tcW w:w="3585"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重庆市江津区发展和改革委员会整体自评</w:t>
            </w:r>
          </w:p>
        </w:tc>
        <w:tc>
          <w:tcPr>
            <w:tcW w:w="14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自评总分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（分）</w:t>
            </w:r>
          </w:p>
        </w:tc>
        <w:tc>
          <w:tcPr>
            <w:tcW w:w="4292" w:type="dxa"/>
            <w:gridSpan w:val="4"/>
            <w:tcBorders>
              <w:tl2br w:val="nil"/>
              <w:tr2bl w:val="nil"/>
            </w:tcBorders>
            <w:noWrap w:val="0"/>
            <w:vAlign w:val="center"/>
          </w:tcPr>
          <w:p>
            <w:pPr>
              <w:keepNext w:val="0"/>
              <w:keepLines w:val="0"/>
              <w:pageBreakBefore w:val="0"/>
              <w:widowControl/>
              <w:tabs>
                <w:tab w:val="left" w:pos="622"/>
              </w:tabs>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lang w:eastAsia="zh-CN"/>
              </w:rPr>
              <w:tab/>
            </w:r>
            <w:r>
              <w:rPr>
                <w:rFonts w:hint="eastAsia" w:ascii="宋体" w:hAnsi="宋体" w:eastAsia="方正仿宋_GBK" w:cs="方正仿宋_GBK"/>
                <w:color w:val="auto"/>
                <w:kern w:val="0"/>
                <w:sz w:val="24"/>
                <w:szCs w:val="24"/>
                <w:lang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项目</w:t>
            </w:r>
            <w:r>
              <w:rPr>
                <w:rFonts w:hint="eastAsia" w:ascii="宋体" w:hAnsi="宋体" w:eastAsia="方正仿宋_GBK" w:cs="方正仿宋_GBK"/>
                <w:color w:val="auto"/>
                <w:kern w:val="0"/>
                <w:sz w:val="24"/>
                <w:szCs w:val="24"/>
              </w:rPr>
              <w:t>主管</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部门</w:t>
            </w:r>
          </w:p>
        </w:tc>
        <w:tc>
          <w:tcPr>
            <w:tcW w:w="1733"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107-重庆市江津区发展和改革委员会</w:t>
            </w:r>
          </w:p>
        </w:tc>
        <w:tc>
          <w:tcPr>
            <w:tcW w:w="80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财政归口科室</w:t>
            </w:r>
          </w:p>
        </w:tc>
        <w:tc>
          <w:tcPr>
            <w:tcW w:w="104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001-行政政法科</w:t>
            </w:r>
          </w:p>
        </w:tc>
        <w:tc>
          <w:tcPr>
            <w:tcW w:w="14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部门</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联系人</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ascii="宋体" w:hAnsi="宋体" w:eastAsia="方正仿宋_GBK" w:cs="方正仿宋_GBK"/>
                <w:color w:val="auto"/>
                <w:kern w:val="0"/>
                <w:sz w:val="24"/>
                <w:szCs w:val="24"/>
                <w:lang w:bidi="ar-SA"/>
              </w:rPr>
              <w:t>刘渝萍</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联系电话</w:t>
            </w:r>
          </w:p>
        </w:tc>
        <w:tc>
          <w:tcPr>
            <w:tcW w:w="20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ascii="宋体" w:hAnsi="宋体" w:eastAsia="方正仿宋_GBK" w:cs="方正仿宋_GBK"/>
                <w:color w:val="auto"/>
                <w:kern w:val="0"/>
                <w:sz w:val="24"/>
                <w:szCs w:val="24"/>
                <w:lang w:bidi="ar-SA"/>
              </w:rPr>
              <w:t>47521221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项目资金（万元）</w:t>
            </w:r>
          </w:p>
        </w:tc>
        <w:tc>
          <w:tcPr>
            <w:tcW w:w="1733"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年度总金额</w:t>
            </w:r>
          </w:p>
        </w:tc>
        <w:tc>
          <w:tcPr>
            <w:tcW w:w="80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预算数</w:t>
            </w:r>
          </w:p>
        </w:tc>
        <w:tc>
          <w:tcPr>
            <w:tcW w:w="104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全年（调整）预算数</w:t>
            </w:r>
          </w:p>
        </w:tc>
        <w:tc>
          <w:tcPr>
            <w:tcW w:w="2224"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全年执行数</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权重</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733"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p>
        </w:tc>
        <w:tc>
          <w:tcPr>
            <w:tcW w:w="80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5039.05</w:t>
            </w:r>
          </w:p>
        </w:tc>
        <w:tc>
          <w:tcPr>
            <w:tcW w:w="104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3530.22</w:t>
            </w:r>
          </w:p>
        </w:tc>
        <w:tc>
          <w:tcPr>
            <w:tcW w:w="2224"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3530.22</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733"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财政拨款</w:t>
            </w:r>
          </w:p>
        </w:tc>
        <w:tc>
          <w:tcPr>
            <w:tcW w:w="80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5039.05</w:t>
            </w:r>
          </w:p>
        </w:tc>
        <w:tc>
          <w:tcPr>
            <w:tcW w:w="104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3530.22</w:t>
            </w:r>
          </w:p>
        </w:tc>
        <w:tc>
          <w:tcPr>
            <w:tcW w:w="2224"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3530.22</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当年绩效目标</w:t>
            </w:r>
          </w:p>
        </w:tc>
        <w:tc>
          <w:tcPr>
            <w:tcW w:w="2881"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年初绩效目标</w:t>
            </w:r>
          </w:p>
        </w:tc>
        <w:tc>
          <w:tcPr>
            <w:tcW w:w="292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全年（调整）绩效目标</w:t>
            </w:r>
          </w:p>
        </w:tc>
        <w:tc>
          <w:tcPr>
            <w:tcW w:w="34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2881"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xml:space="preserve">1、组织实施全区国民经济和社会发展战略、中长期规划、年度计划；2、监测预测预警宏观经济和社会发展态势趋势；                                                                                       3、推进、协调经济体制改革工作；4、负责全区固定资产投资调控；5、负责指导、协调、监督全区招投标工作；                                                                                      6、负责全区能源发展工作；7、推动实施创新驱动发展战略；8、承担全区社会信用体系建设；                                                                                               9、牵头拟定年度重点建设项目； 10、贯彻执行价格法律、法规、规章和方针政策；11、统筹推进全区智慧城市建设工作；                                                                                                       12、负责粮食收购、储备管理。 </w:t>
            </w:r>
          </w:p>
        </w:tc>
        <w:tc>
          <w:tcPr>
            <w:tcW w:w="292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拟订并组织实施全区国民经济和社会发展战略、中长期规划和年度计划；2、提出全区加快现代化经济体系、推动高质量发展的总体目标、重要任务以及相关措施；3、推进和综合协调经济体制改革有关工作；4、负责全区固定资产投资调控，牵头拟订年度重点建设项目；5、负责推动落实成渝地区双城经济圈建设战略；6、牵头开展社会信用体系建设；7、负责推进可持续发展战略，统筹协调全区节能工作；8、负责指导协调全区公共资源交易活动；9、负责行政事业性收费管理；10、负责全区能源发展重要问题的研究；11、承担民营经济发展职责；12、负责粮油和物资储备管理。</w:t>
            </w:r>
          </w:p>
        </w:tc>
        <w:tc>
          <w:tcPr>
            <w:tcW w:w="34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我部门全年充分发挥了投资对优化供给结构的关键作用，统筹做好了投资高质量增长工作；围绕项目决策、审批（审查）、实施、管控、调度和后评价各阶段，加强了全流程全链条管理；聚焦保障性住房建设、公共基础设施建设、城中村改造等重点领域，加强了项目谋划，做到了“项目等资金”；深化园区开发区、营商环境、公共资源交易监管等重点领域改革，激发经济发展活力动力；实现了管理机制重塑、内设机构调整、产业布局优化；强化了工程建设项目招投标全流程电子化和全过程跟踪；狠抓清洁和低碳能源产业发展，积极稳妥推进了碳达峰碳中和；江津至南川天然气输气管道项目、唐家湾等110千伏输变电工程完工；开展了长输油气管道、粮油安全应急演练，全面提升安全生产水平；抓紧抓实成渝地区双城经济圈等国家和重庆宏观战略，落地落细价格等微观政策；加强了对天然气销售、供水管网安装服务、殡葬服务、教育收费、基本养老服务、公交车票、公共停车服务等价格管理，全年按序时进度完成项目个数达到了</w:t>
            </w:r>
            <w:r>
              <w:rPr>
                <w:rFonts w:hint="eastAsia" w:ascii="宋体" w:hAnsi="宋体" w:eastAsia="方正仿宋_GBK" w:cs="方正仿宋_GBK"/>
                <w:color w:val="auto"/>
                <w:kern w:val="0"/>
                <w:sz w:val="24"/>
                <w:szCs w:val="24"/>
                <w:lang w:val="en-US" w:eastAsia="zh-CN"/>
              </w:rPr>
              <w:t>15</w:t>
            </w:r>
            <w:r>
              <w:rPr>
                <w:rFonts w:hint="eastAsia" w:ascii="宋体" w:hAnsi="宋体" w:eastAsia="方正仿宋_GBK" w:cs="方正仿宋_GBK"/>
                <w:color w:val="auto"/>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绩效指标</w:t>
            </w:r>
          </w:p>
        </w:tc>
        <w:tc>
          <w:tcPr>
            <w:tcW w:w="107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名称</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单位</w:t>
            </w: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性质</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值</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完成值</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偏离度（%）</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（分）</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（分）</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项目按序时进度完成个数</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1</w:t>
            </w:r>
            <w:r>
              <w:rPr>
                <w:rFonts w:hint="eastAsia" w:ascii="宋体" w:hAnsi="宋体" w:eastAsia="方正仿宋_GBK" w:cs="方正仿宋_GBK"/>
                <w:color w:val="auto"/>
                <w:kern w:val="0"/>
                <w:sz w:val="24"/>
                <w:szCs w:val="24"/>
                <w:lang w:val="en-US" w:eastAsia="zh-CN"/>
              </w:rPr>
              <w:t>5</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15</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15</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部门预决算公开情况</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定性</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公开内容完整性100%，细化程度100%，及时性100%，真实性100%</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各项经费支出合规性</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各项工作完成时间</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年</w:t>
            </w: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15</w:t>
            </w:r>
          </w:p>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15</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受益群众覆盖率</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政策知晓率</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90</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92</w:t>
            </w:r>
          </w:p>
        </w:tc>
        <w:tc>
          <w:tcPr>
            <w:tcW w:w="1255"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2.22</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群众满意度</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color w:val="auto"/>
              </w:rPr>
              <w:t>%</w:t>
            </w: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90</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96</w:t>
            </w:r>
          </w:p>
        </w:tc>
        <w:tc>
          <w:tcPr>
            <w:tcW w:w="1255"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6.67</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“三公”经费控制情况</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万元</w:t>
            </w: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23</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16.34</w:t>
            </w:r>
          </w:p>
        </w:tc>
        <w:tc>
          <w:tcPr>
            <w:tcW w:w="1255" w:type="dxa"/>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28.96</w:t>
            </w: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5</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采用保障金方式的政府采购占比</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44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color w:val="auto"/>
              </w:rPr>
              <w:t>定性</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无保障金采购的，得满分；保障金采购占比≤10%的，按该项指标分值的90%计算得分；占比&gt;10%，不得分</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5</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5</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1073"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聘用人员控制情况</w:t>
            </w:r>
          </w:p>
        </w:tc>
        <w:tc>
          <w:tcPr>
            <w:tcW w:w="66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人</w:t>
            </w:r>
          </w:p>
        </w:tc>
        <w:tc>
          <w:tcPr>
            <w:tcW w:w="440"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left"/>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lang w:val="en-US" w:eastAsia="zh-CN"/>
              </w:rPr>
              <w:t>4</w:t>
            </w:r>
          </w:p>
        </w:tc>
        <w:tc>
          <w:tcPr>
            <w:tcW w:w="857"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lang w:val="en-US" w:eastAsia="zh-CN"/>
              </w:rPr>
              <w:t>4</w:t>
            </w:r>
          </w:p>
        </w:tc>
        <w:tc>
          <w:tcPr>
            <w:tcW w:w="12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c>
          <w:tcPr>
            <w:tcW w:w="81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100</w:t>
            </w:r>
          </w:p>
        </w:tc>
        <w:tc>
          <w:tcPr>
            <w:tcW w:w="140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12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w:t>
            </w:r>
          </w:p>
        </w:tc>
        <w:tc>
          <w:tcPr>
            <w:tcW w:w="83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p>
        </w:tc>
      </w:tr>
    </w:tbl>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24"/>
        <w:gridCol w:w="494"/>
        <w:gridCol w:w="455"/>
        <w:gridCol w:w="366"/>
        <w:gridCol w:w="478"/>
        <w:gridCol w:w="684"/>
        <w:gridCol w:w="288"/>
        <w:gridCol w:w="948"/>
        <w:gridCol w:w="1080"/>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政府投资项目管理及概算审查经费</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71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107-重庆市江津区发展和改革委员会</w:t>
            </w:r>
          </w:p>
        </w:tc>
        <w:tc>
          <w:tcPr>
            <w:tcW w:w="82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蔡伟</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47521221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718"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82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718"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82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150</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442.88</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442.88</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10.00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71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82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150</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442.88</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442.88</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1、完成概算审查、可研评估任务；2、提升项目审批效率。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完成了概算审查、可研评估服务任务共51件，概算审查、可研评估时间控制在</w:t>
            </w:r>
            <w:r>
              <w:rPr>
                <w:rFonts w:hint="eastAsia" w:ascii="宋体" w:hAnsi="宋体" w:eastAsia="方正仿宋_GBK" w:cs="方正仿宋_GBK"/>
                <w:color w:val="000000"/>
                <w:kern w:val="0"/>
                <w:sz w:val="24"/>
                <w:szCs w:val="24"/>
                <w:lang w:eastAsia="zh-CN"/>
              </w:rPr>
              <w:t>委托规定的时间</w:t>
            </w:r>
            <w:r>
              <w:rPr>
                <w:rFonts w:hint="eastAsia" w:ascii="宋体" w:hAnsi="宋体" w:eastAsia="方正仿宋_GBK" w:cs="方正仿宋_GBK"/>
                <w:color w:val="000000"/>
                <w:kern w:val="0"/>
                <w:sz w:val="24"/>
                <w:szCs w:val="24"/>
              </w:rPr>
              <w:t>以内，整体提升了项目审批效率。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委托概算审查、可研评估服务数量</w:t>
            </w:r>
          </w:p>
        </w:tc>
        <w:tc>
          <w:tcPr>
            <w:tcW w:w="494"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件</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51</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27.5</w:t>
            </w: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284"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概算审查、可研评估时间（根据项目投资大小确定，不包含业主单位补正资料、确认审查结果时间）</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eastAsia="zh-CN"/>
              </w:rPr>
            </w:pP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lang w:eastAsia="zh-CN"/>
              </w:rPr>
              <w:t>定性</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lang w:eastAsia="zh-CN"/>
              </w:rPr>
              <w:t>规定时间内</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w:t>
            </w:r>
          </w:p>
        </w:tc>
        <w:tc>
          <w:tcPr>
            <w:tcW w:w="948"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default" w:ascii="宋体" w:hAnsi="宋体" w:eastAsia="宋体" w:cs="宋体"/>
                <w:i w:val="0"/>
                <w:iCs w:val="0"/>
                <w:color w:val="auto"/>
                <w:kern w:val="2"/>
                <w:sz w:val="22"/>
                <w:szCs w:val="22"/>
                <w:u w:val="none"/>
                <w:lang w:val="en-US" w:eastAsia="zh-CN" w:bidi="ar-SA"/>
              </w:rPr>
            </w:pP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1092"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284"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购买服务完成率</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284"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审查结果超估算投资10%</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件</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通过对项目进行后评价，对项目投资决策、审批实施、监督管理、投产运行等提出意见和建议的有效性。</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92</w:t>
            </w:r>
          </w:p>
        </w:tc>
        <w:tc>
          <w:tcPr>
            <w:tcW w:w="948"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rPr>
              <w:t>满意</w:t>
            </w:r>
            <w:r>
              <w:rPr>
                <w:rFonts w:hint="eastAsia" w:ascii="宋体" w:hAnsi="宋体" w:eastAsia="方正仿宋_GBK" w:cs="方正仿宋_GBK"/>
                <w:color w:val="000000"/>
                <w:kern w:val="0"/>
                <w:sz w:val="24"/>
                <w:szCs w:val="24"/>
                <w:lang w:eastAsia="zh-CN"/>
              </w:rPr>
              <w:t>度</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99</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99</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bl>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auto"/>
          <w:kern w:val="0"/>
          <w:sz w:val="36"/>
          <w:szCs w:val="36"/>
          <w:lang w:val="en-US" w:eastAsia="zh-CN"/>
        </w:rPr>
      </w:pPr>
    </w:p>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color w:val="auto"/>
          <w:kern w:val="0"/>
          <w:sz w:val="32"/>
          <w:szCs w:val="32"/>
        </w:rPr>
      </w:pPr>
      <w:r>
        <w:rPr>
          <w:rFonts w:hint="eastAsia" w:ascii="宋体" w:hAnsi="宋体" w:eastAsia="方正仿宋_GBK" w:cs="方正仿宋_GBK"/>
          <w:b/>
          <w:bCs w:val="0"/>
          <w:color w:val="auto"/>
          <w:kern w:val="0"/>
          <w:sz w:val="32"/>
          <w:szCs w:val="32"/>
        </w:rPr>
        <w:t>绩效自评报告或案例</w:t>
      </w:r>
    </w:p>
    <w:p>
      <w:pPr>
        <w:pStyle w:val="10"/>
        <w:keepNext w:val="0"/>
        <w:keepLines w:val="0"/>
        <w:widowControl/>
        <w:suppressLineNumbers w:val="0"/>
        <w:shd w:val="clear" w:color="auto" w:fill="FFFFFF"/>
        <w:spacing w:before="0" w:beforeAutospacing="0" w:after="0" w:afterAutospacing="0" w:line="560" w:lineRule="exact"/>
        <w:ind w:left="0" w:right="0" w:firstLine="640" w:firstLineChars="200"/>
        <w:jc w:val="both"/>
        <w:rPr>
          <w:rFonts w:hint="eastAsia" w:ascii="方正仿宋_GBK" w:eastAsia="方正仿宋_GBK" w:cs="方正仿宋_GBK"/>
          <w:color w:val="auto"/>
          <w:kern w:val="0"/>
          <w:sz w:val="32"/>
          <w:szCs w:val="32"/>
          <w:shd w:val="clear" w:color="auto" w:fill="FFFFFF"/>
          <w:lang w:bidi="ar-SA"/>
        </w:rPr>
      </w:pPr>
      <w:r>
        <w:rPr>
          <w:rFonts w:hint="eastAsia" w:ascii="方正仿宋_GBK" w:eastAsia="方正仿宋_GBK" w:cs="方正仿宋_GBK"/>
          <w:color w:val="auto"/>
          <w:kern w:val="0"/>
          <w:sz w:val="32"/>
          <w:szCs w:val="32"/>
          <w:shd w:val="clear" w:color="auto" w:fill="FFFFFF"/>
          <w:lang w:eastAsia="zh-CN" w:bidi="ar-SA"/>
        </w:rPr>
        <w:t>本部门</w:t>
      </w:r>
      <w:r>
        <w:rPr>
          <w:rFonts w:hint="eastAsia" w:ascii="方正仿宋_GBK" w:eastAsia="方正仿宋_GBK" w:cs="方正仿宋_GBK"/>
          <w:color w:val="auto"/>
          <w:kern w:val="0"/>
          <w:sz w:val="32"/>
          <w:szCs w:val="32"/>
          <w:shd w:val="clear" w:color="auto" w:fill="FFFFFF"/>
          <w:lang w:bidi="ar-SA"/>
        </w:rPr>
        <w:t>无此事项</w:t>
      </w:r>
    </w:p>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auto"/>
          <w:kern w:val="0"/>
          <w:sz w:val="32"/>
          <w:szCs w:val="32"/>
        </w:rPr>
      </w:pPr>
      <w:r>
        <w:rPr>
          <w:rFonts w:hint="eastAsia" w:ascii="宋体" w:hAnsi="宋体" w:eastAsia="方正仿宋_GBK" w:cs="方正仿宋_GBK"/>
          <w:b/>
          <w:bCs/>
          <w:color w:val="auto"/>
          <w:kern w:val="0"/>
          <w:sz w:val="32"/>
          <w:szCs w:val="32"/>
        </w:rPr>
        <w:t>关于绩效自评结果的说明</w:t>
      </w:r>
    </w:p>
    <w:p>
      <w:pPr>
        <w:pStyle w:val="10"/>
        <w:keepNext w:val="0"/>
        <w:keepLines w:val="0"/>
        <w:widowControl/>
        <w:suppressLineNumbers w:val="0"/>
        <w:shd w:val="clear" w:color="auto" w:fill="FFFFFF"/>
        <w:spacing w:before="0" w:beforeAutospacing="0" w:after="0" w:afterAutospacing="0" w:line="560" w:lineRule="exact"/>
        <w:ind w:left="0" w:right="0" w:firstLine="640" w:firstLineChars="200"/>
        <w:jc w:val="both"/>
        <w:rPr>
          <w:rFonts w:hint="eastAsia" w:ascii="方正仿宋_GBK" w:eastAsia="方正仿宋_GBK" w:cs="方正仿宋_GBK"/>
          <w:color w:val="auto"/>
          <w:kern w:val="0"/>
          <w:sz w:val="32"/>
          <w:szCs w:val="32"/>
          <w:shd w:val="clear" w:color="auto" w:fill="FFFFFF"/>
          <w:lang w:bidi="ar-SA"/>
        </w:rPr>
      </w:pPr>
      <w:r>
        <w:rPr>
          <w:rFonts w:hint="eastAsia" w:ascii="方正仿宋_GBK" w:eastAsia="方正仿宋_GBK" w:cs="方正仿宋_GBK"/>
          <w:color w:val="auto"/>
          <w:kern w:val="0"/>
          <w:sz w:val="32"/>
          <w:szCs w:val="32"/>
          <w:shd w:val="clear" w:color="auto" w:fill="FFFFFF"/>
          <w:lang w:eastAsia="zh-CN" w:bidi="ar-SA"/>
        </w:rPr>
        <w:t>本部门</w:t>
      </w:r>
      <w:r>
        <w:rPr>
          <w:rFonts w:hint="eastAsia" w:ascii="方正仿宋_GBK" w:eastAsia="方正仿宋_GBK" w:cs="方正仿宋_GBK"/>
          <w:color w:val="auto"/>
          <w:kern w:val="0"/>
          <w:sz w:val="32"/>
          <w:szCs w:val="32"/>
          <w:shd w:val="clear" w:color="auto" w:fill="FFFFFF"/>
          <w:lang w:bidi="ar-SA"/>
        </w:rPr>
        <w:t>无此事项</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（三）重点绩效评价结果</w:t>
      </w:r>
    </w:p>
    <w:p>
      <w:pPr>
        <w:pStyle w:val="10"/>
        <w:keepNext w:val="0"/>
        <w:keepLines w:val="0"/>
        <w:widowControl/>
        <w:suppressLineNumbers w:val="0"/>
        <w:shd w:val="clear" w:color="auto" w:fill="FFFFFF"/>
        <w:spacing w:before="0" w:beforeAutospacing="0" w:after="0" w:afterAutospacing="0" w:line="560" w:lineRule="exact"/>
        <w:ind w:left="0" w:right="0" w:firstLine="640" w:firstLineChars="200"/>
        <w:jc w:val="both"/>
        <w:rPr>
          <w:rFonts w:hint="eastAsia" w:ascii="方正仿宋_GBK" w:eastAsia="方正仿宋_GBK" w:cs="方正仿宋_GBK"/>
          <w:color w:val="auto"/>
          <w:kern w:val="0"/>
          <w:sz w:val="32"/>
          <w:szCs w:val="32"/>
          <w:shd w:val="clear" w:color="auto" w:fill="FFFFFF"/>
          <w:lang w:bidi="ar-SA"/>
        </w:rPr>
      </w:pPr>
      <w:r>
        <w:rPr>
          <w:rFonts w:hint="eastAsia" w:ascii="方正仿宋_GBK" w:eastAsia="方正仿宋_GBK" w:cs="方正仿宋_GBK"/>
          <w:color w:val="auto"/>
          <w:kern w:val="0"/>
          <w:sz w:val="32"/>
          <w:szCs w:val="32"/>
          <w:shd w:val="clear" w:color="auto" w:fill="FFFFFF"/>
          <w:lang w:eastAsia="zh-CN" w:bidi="ar-SA"/>
        </w:rPr>
        <w:t>本部门</w:t>
      </w:r>
      <w:r>
        <w:rPr>
          <w:rFonts w:hint="eastAsia" w:ascii="方正仿宋_GBK" w:eastAsia="方正仿宋_GBK" w:cs="方正仿宋_GBK"/>
          <w:color w:val="auto"/>
          <w:kern w:val="0"/>
          <w:sz w:val="32"/>
          <w:szCs w:val="32"/>
          <w:shd w:val="clear" w:color="auto" w:fill="FFFFFF"/>
          <w:lang w:bidi="ar-SA"/>
        </w:rPr>
        <w:t>无此事项</w:t>
      </w:r>
    </w:p>
    <w:p>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二</w:t>
      </w:r>
      <w:r>
        <w:rPr>
          <w:rFonts w:hint="eastAsia" w:ascii="宋体" w:hAnsi="宋体" w:eastAsia="方正仿宋_GBK" w:cs="方正仿宋_GBK"/>
          <w:color w:val="auto"/>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三</w:t>
      </w:r>
      <w:r>
        <w:rPr>
          <w:rFonts w:hint="eastAsia" w:ascii="宋体" w:hAnsi="宋体" w:eastAsia="方正仿宋_GBK" w:cs="方正仿宋_GBK"/>
          <w:color w:val="auto"/>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四</w:t>
      </w:r>
      <w:r>
        <w:rPr>
          <w:rFonts w:hint="eastAsia" w:ascii="宋体" w:hAnsi="宋体" w:eastAsia="方正仿宋_GBK" w:cs="方正仿宋_GBK"/>
          <w:color w:val="auto"/>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五</w:t>
      </w:r>
      <w:r>
        <w:rPr>
          <w:rFonts w:hint="eastAsia" w:ascii="宋体" w:hAnsi="宋体" w:eastAsia="方正仿宋_GBK" w:cs="方正仿宋_GBK"/>
          <w:color w:val="auto"/>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六</w:t>
      </w:r>
      <w:r>
        <w:rPr>
          <w:rFonts w:hint="eastAsia" w:ascii="宋体" w:hAnsi="宋体" w:eastAsia="方正仿宋_GBK" w:cs="方正仿宋_GBK"/>
          <w:color w:val="auto"/>
          <w:sz w:val="32"/>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七</w:t>
      </w:r>
      <w:r>
        <w:rPr>
          <w:rFonts w:hint="eastAsia" w:ascii="宋体" w:hAnsi="宋体" w:eastAsia="方正仿宋_GBK" w:cs="方正仿宋_GBK"/>
          <w:color w:val="auto"/>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八</w:t>
      </w:r>
      <w:r>
        <w:rPr>
          <w:rFonts w:hint="eastAsia" w:ascii="宋体" w:hAnsi="宋体" w:eastAsia="方正仿宋_GBK" w:cs="方正仿宋_GBK"/>
          <w:color w:val="auto"/>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九</w:t>
      </w:r>
      <w:r>
        <w:rPr>
          <w:rFonts w:hint="eastAsia" w:ascii="宋体" w:hAnsi="宋体" w:eastAsia="方正仿宋_GBK" w:cs="方正仿宋_GBK"/>
          <w:color w:val="auto"/>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w:t>
      </w:r>
      <w:r>
        <w:rPr>
          <w:rFonts w:hint="eastAsia" w:ascii="宋体" w:hAnsi="宋体" w:eastAsia="方正仿宋_GBK" w:cs="方正仿宋_GBK"/>
          <w:color w:val="auto"/>
          <w:sz w:val="32"/>
          <w:szCs w:val="32"/>
          <w:lang w:val="en-US" w:eastAsia="zh-CN"/>
        </w:rPr>
        <w:t>一</w:t>
      </w:r>
      <w:r>
        <w:rPr>
          <w:rFonts w:hint="eastAsia" w:ascii="宋体" w:hAnsi="宋体" w:eastAsia="方正仿宋_GBK" w:cs="方正仿宋_GBK"/>
          <w:color w:val="auto"/>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本部门</w:t>
      </w:r>
      <w:r>
        <w:rPr>
          <w:rFonts w:hint="eastAsia" w:ascii="宋体" w:hAnsi="宋体" w:eastAsia="方正仿宋_GBK" w:cs="方正仿宋_GBK"/>
          <w:color w:val="auto"/>
          <w:sz w:val="32"/>
          <w:szCs w:val="32"/>
        </w:rPr>
        <w:t>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color w:val="auto"/>
          <w:sz w:val="32"/>
          <w:szCs w:val="32"/>
          <w:lang w:val="en-US"/>
        </w:rPr>
      </w:pPr>
      <w:r>
        <w:rPr>
          <w:rFonts w:hint="eastAsia" w:ascii="宋体" w:hAnsi="宋体" w:eastAsia="方正仿宋_GBK" w:cs="方正仿宋_GBK"/>
          <w:color w:val="auto"/>
          <w:sz w:val="32"/>
          <w:szCs w:val="32"/>
          <w:lang w:val="en-US" w:eastAsia="zh-CN"/>
        </w:rPr>
        <w:t>联系人：</w:t>
      </w:r>
      <w:r>
        <w:rPr>
          <w:rStyle w:val="16"/>
          <w:rFonts w:hint="eastAsia" w:ascii="方正仿宋_GBK" w:eastAsia="方正仿宋_GBK" w:cs="方正仿宋_GBK"/>
          <w:color w:val="auto"/>
          <w:sz w:val="32"/>
          <w:szCs w:val="32"/>
          <w:shd w:val="clear" w:color="auto" w:fill="FFFFFF"/>
          <w:lang w:bidi="ar-SA"/>
        </w:rPr>
        <w:t>刘渝萍</w:t>
      </w:r>
      <w:r>
        <w:rPr>
          <w:rFonts w:hint="eastAsia" w:ascii="宋体" w:hAnsi="宋体" w:eastAsia="方正仿宋_GBK" w:cs="方正仿宋_GBK"/>
          <w:color w:val="auto"/>
          <w:sz w:val="32"/>
          <w:szCs w:val="32"/>
        </w:rPr>
        <w:t xml:space="preserve">    </w:t>
      </w:r>
      <w:r>
        <w:rPr>
          <w:rFonts w:hint="eastAsia" w:ascii="宋体" w:hAnsi="宋体" w:eastAsia="方正仿宋_GBK" w:cs="方正仿宋_GBK"/>
          <w:color w:val="auto"/>
          <w:sz w:val="32"/>
          <w:szCs w:val="32"/>
          <w:lang w:val="en-US" w:eastAsia="zh-CN"/>
        </w:rPr>
        <w:t>联系电话：</w:t>
      </w:r>
      <w:r>
        <w:rPr>
          <w:rStyle w:val="16"/>
          <w:rFonts w:hint="eastAsia" w:ascii="方正仿宋_GBK" w:eastAsia="方正仿宋_GBK" w:cs="方正仿宋_GBK"/>
          <w:color w:val="auto"/>
          <w:sz w:val="32"/>
          <w:szCs w:val="32"/>
          <w:shd w:val="clear" w:color="auto" w:fill="FFFFFF"/>
          <w:lang w:bidi="ar-SA"/>
        </w:rPr>
        <w:t>023-47521221</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WUyOWUxY2VmYWQ0NmI5NTQ2OWZkN2E2MmM0NWMifQ=="/>
  </w:docVars>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969AD"/>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0EAD"/>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477E"/>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6B4D"/>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218BF"/>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459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4299A"/>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1949CD"/>
    <w:rsid w:val="01374E54"/>
    <w:rsid w:val="01626E33"/>
    <w:rsid w:val="017A2F9F"/>
    <w:rsid w:val="01823B32"/>
    <w:rsid w:val="019E4756"/>
    <w:rsid w:val="01B67107"/>
    <w:rsid w:val="01C71945"/>
    <w:rsid w:val="02072A78"/>
    <w:rsid w:val="020F6D27"/>
    <w:rsid w:val="021A17B4"/>
    <w:rsid w:val="02217C74"/>
    <w:rsid w:val="02443CCC"/>
    <w:rsid w:val="026359B2"/>
    <w:rsid w:val="026B7642"/>
    <w:rsid w:val="02721E6A"/>
    <w:rsid w:val="02AC542A"/>
    <w:rsid w:val="02E1151B"/>
    <w:rsid w:val="02EB239A"/>
    <w:rsid w:val="033C2BF5"/>
    <w:rsid w:val="036018E3"/>
    <w:rsid w:val="038E49EB"/>
    <w:rsid w:val="03A45696"/>
    <w:rsid w:val="03B74B35"/>
    <w:rsid w:val="03CE738D"/>
    <w:rsid w:val="03D862B6"/>
    <w:rsid w:val="03DC3FEC"/>
    <w:rsid w:val="03FB4D0B"/>
    <w:rsid w:val="045B484E"/>
    <w:rsid w:val="04622C64"/>
    <w:rsid w:val="04700DA8"/>
    <w:rsid w:val="047841EE"/>
    <w:rsid w:val="04A56073"/>
    <w:rsid w:val="04AD2B7D"/>
    <w:rsid w:val="04D964A5"/>
    <w:rsid w:val="04DE2B29"/>
    <w:rsid w:val="04E841EF"/>
    <w:rsid w:val="05081AD1"/>
    <w:rsid w:val="050D4849"/>
    <w:rsid w:val="052258A0"/>
    <w:rsid w:val="052E6699"/>
    <w:rsid w:val="057728DC"/>
    <w:rsid w:val="05912D04"/>
    <w:rsid w:val="05C1448E"/>
    <w:rsid w:val="05C1761D"/>
    <w:rsid w:val="05D90398"/>
    <w:rsid w:val="05E52FAD"/>
    <w:rsid w:val="06076D84"/>
    <w:rsid w:val="0609596A"/>
    <w:rsid w:val="060A24AD"/>
    <w:rsid w:val="072A27C8"/>
    <w:rsid w:val="074353E1"/>
    <w:rsid w:val="07640956"/>
    <w:rsid w:val="07A34544"/>
    <w:rsid w:val="07EC2E3C"/>
    <w:rsid w:val="07F21150"/>
    <w:rsid w:val="08174DCE"/>
    <w:rsid w:val="08190B33"/>
    <w:rsid w:val="08662CD0"/>
    <w:rsid w:val="08A70B11"/>
    <w:rsid w:val="08B454DB"/>
    <w:rsid w:val="08C10882"/>
    <w:rsid w:val="08C7668D"/>
    <w:rsid w:val="08CC205B"/>
    <w:rsid w:val="08D132F7"/>
    <w:rsid w:val="08DB1609"/>
    <w:rsid w:val="08E43B13"/>
    <w:rsid w:val="08E8101F"/>
    <w:rsid w:val="092B50CE"/>
    <w:rsid w:val="09327D67"/>
    <w:rsid w:val="097859D4"/>
    <w:rsid w:val="09823D8A"/>
    <w:rsid w:val="099E1FD1"/>
    <w:rsid w:val="09C9617E"/>
    <w:rsid w:val="0A280DE4"/>
    <w:rsid w:val="0A2D21B2"/>
    <w:rsid w:val="0A53207F"/>
    <w:rsid w:val="0A614B86"/>
    <w:rsid w:val="0A751EDD"/>
    <w:rsid w:val="0A8235E3"/>
    <w:rsid w:val="0A927580"/>
    <w:rsid w:val="0AB177F2"/>
    <w:rsid w:val="0AB319EF"/>
    <w:rsid w:val="0AEC3562"/>
    <w:rsid w:val="0B2D0C5C"/>
    <w:rsid w:val="0B447CC4"/>
    <w:rsid w:val="0B5C19F8"/>
    <w:rsid w:val="0B6B4922"/>
    <w:rsid w:val="0B840250"/>
    <w:rsid w:val="0BBB1C03"/>
    <w:rsid w:val="0BBD1CFB"/>
    <w:rsid w:val="0BC63C92"/>
    <w:rsid w:val="0BCF17F7"/>
    <w:rsid w:val="0BEB203B"/>
    <w:rsid w:val="0BED624F"/>
    <w:rsid w:val="0C1A7343"/>
    <w:rsid w:val="0C3C56A3"/>
    <w:rsid w:val="0C3E1C6B"/>
    <w:rsid w:val="0C5160FC"/>
    <w:rsid w:val="0C637445"/>
    <w:rsid w:val="0C845843"/>
    <w:rsid w:val="0C8D0553"/>
    <w:rsid w:val="0C994F52"/>
    <w:rsid w:val="0CB6160D"/>
    <w:rsid w:val="0CC25F19"/>
    <w:rsid w:val="0CF64FD9"/>
    <w:rsid w:val="0D241758"/>
    <w:rsid w:val="0D4A231C"/>
    <w:rsid w:val="0DBA0DC1"/>
    <w:rsid w:val="0DCE605A"/>
    <w:rsid w:val="0E3D193D"/>
    <w:rsid w:val="0E5158C5"/>
    <w:rsid w:val="0E686010"/>
    <w:rsid w:val="0E6D45AA"/>
    <w:rsid w:val="0E721BC1"/>
    <w:rsid w:val="0EA66A76"/>
    <w:rsid w:val="0EAD6E68"/>
    <w:rsid w:val="0EB15612"/>
    <w:rsid w:val="0ECD0CD8"/>
    <w:rsid w:val="0ECF621B"/>
    <w:rsid w:val="0EDD34DE"/>
    <w:rsid w:val="0EFB5876"/>
    <w:rsid w:val="0F107EE3"/>
    <w:rsid w:val="0F3222B1"/>
    <w:rsid w:val="0F3B4594"/>
    <w:rsid w:val="0F4603E9"/>
    <w:rsid w:val="0F5D6174"/>
    <w:rsid w:val="0F8109EA"/>
    <w:rsid w:val="0F912C6D"/>
    <w:rsid w:val="0F931176"/>
    <w:rsid w:val="0FC0132B"/>
    <w:rsid w:val="0FCF39BD"/>
    <w:rsid w:val="0FE4264A"/>
    <w:rsid w:val="100A1A0C"/>
    <w:rsid w:val="1016071E"/>
    <w:rsid w:val="10325A41"/>
    <w:rsid w:val="10656E2F"/>
    <w:rsid w:val="106E50A9"/>
    <w:rsid w:val="10801075"/>
    <w:rsid w:val="1084224C"/>
    <w:rsid w:val="10DB232E"/>
    <w:rsid w:val="10F82F6E"/>
    <w:rsid w:val="11072A94"/>
    <w:rsid w:val="1113718A"/>
    <w:rsid w:val="114859F3"/>
    <w:rsid w:val="11771F89"/>
    <w:rsid w:val="11A6739A"/>
    <w:rsid w:val="11D34725"/>
    <w:rsid w:val="12071BEC"/>
    <w:rsid w:val="12294CBC"/>
    <w:rsid w:val="12554B29"/>
    <w:rsid w:val="12AD3E7D"/>
    <w:rsid w:val="12C42FA0"/>
    <w:rsid w:val="12D35C61"/>
    <w:rsid w:val="12E0359D"/>
    <w:rsid w:val="12EA2F1A"/>
    <w:rsid w:val="12EE01CF"/>
    <w:rsid w:val="130558D9"/>
    <w:rsid w:val="13424E21"/>
    <w:rsid w:val="137F545A"/>
    <w:rsid w:val="13801D6F"/>
    <w:rsid w:val="13841A7B"/>
    <w:rsid w:val="138B759A"/>
    <w:rsid w:val="13BF7187"/>
    <w:rsid w:val="13EC2AFE"/>
    <w:rsid w:val="13F46315"/>
    <w:rsid w:val="140D076E"/>
    <w:rsid w:val="140E2407"/>
    <w:rsid w:val="141F1F10"/>
    <w:rsid w:val="14601BF9"/>
    <w:rsid w:val="14611714"/>
    <w:rsid w:val="14883EEC"/>
    <w:rsid w:val="14B44CE1"/>
    <w:rsid w:val="14CF05AD"/>
    <w:rsid w:val="14CF3275"/>
    <w:rsid w:val="14E8356B"/>
    <w:rsid w:val="14EB3F48"/>
    <w:rsid w:val="14FD41CB"/>
    <w:rsid w:val="14FF68C9"/>
    <w:rsid w:val="1508102A"/>
    <w:rsid w:val="15485429"/>
    <w:rsid w:val="15546C2C"/>
    <w:rsid w:val="158240BB"/>
    <w:rsid w:val="15A308B2"/>
    <w:rsid w:val="160D5A33"/>
    <w:rsid w:val="16300397"/>
    <w:rsid w:val="164B77DE"/>
    <w:rsid w:val="164E227A"/>
    <w:rsid w:val="164E5E0B"/>
    <w:rsid w:val="17532A55"/>
    <w:rsid w:val="1763479D"/>
    <w:rsid w:val="17742506"/>
    <w:rsid w:val="17932EDC"/>
    <w:rsid w:val="17A36DDB"/>
    <w:rsid w:val="17A532AB"/>
    <w:rsid w:val="17A76437"/>
    <w:rsid w:val="17C074F9"/>
    <w:rsid w:val="180B07AE"/>
    <w:rsid w:val="181A2360"/>
    <w:rsid w:val="181F4708"/>
    <w:rsid w:val="18221462"/>
    <w:rsid w:val="184F1121"/>
    <w:rsid w:val="185B2A86"/>
    <w:rsid w:val="18673A10"/>
    <w:rsid w:val="18C66253"/>
    <w:rsid w:val="18CD5743"/>
    <w:rsid w:val="195E6FCA"/>
    <w:rsid w:val="19745B30"/>
    <w:rsid w:val="197B50D2"/>
    <w:rsid w:val="19926875"/>
    <w:rsid w:val="19A05449"/>
    <w:rsid w:val="19BD63E6"/>
    <w:rsid w:val="19ED659F"/>
    <w:rsid w:val="19F618F8"/>
    <w:rsid w:val="1A0933D9"/>
    <w:rsid w:val="1A297DDD"/>
    <w:rsid w:val="1A7919B9"/>
    <w:rsid w:val="1ABD2416"/>
    <w:rsid w:val="1B1350D9"/>
    <w:rsid w:val="1B9A7C0E"/>
    <w:rsid w:val="1B9B203B"/>
    <w:rsid w:val="1BFD1CC9"/>
    <w:rsid w:val="1C7D4093"/>
    <w:rsid w:val="1C96385A"/>
    <w:rsid w:val="1CE92F5C"/>
    <w:rsid w:val="1D01483C"/>
    <w:rsid w:val="1D040BF2"/>
    <w:rsid w:val="1D437979"/>
    <w:rsid w:val="1D4708B1"/>
    <w:rsid w:val="1D656164"/>
    <w:rsid w:val="1DD13FE0"/>
    <w:rsid w:val="1DD2442A"/>
    <w:rsid w:val="1E49007E"/>
    <w:rsid w:val="1E8900BD"/>
    <w:rsid w:val="1E8941B0"/>
    <w:rsid w:val="1ECB269E"/>
    <w:rsid w:val="1ED80E76"/>
    <w:rsid w:val="1EE66C3C"/>
    <w:rsid w:val="1EF96BEA"/>
    <w:rsid w:val="1F047610"/>
    <w:rsid w:val="1F116510"/>
    <w:rsid w:val="1F1C3B7B"/>
    <w:rsid w:val="1F52137F"/>
    <w:rsid w:val="1F5840A4"/>
    <w:rsid w:val="200551AB"/>
    <w:rsid w:val="205932DE"/>
    <w:rsid w:val="20880DD0"/>
    <w:rsid w:val="20A03801"/>
    <w:rsid w:val="20BC5FF2"/>
    <w:rsid w:val="21366A7E"/>
    <w:rsid w:val="21433F5A"/>
    <w:rsid w:val="219D4F8D"/>
    <w:rsid w:val="21C00CAD"/>
    <w:rsid w:val="222807B1"/>
    <w:rsid w:val="22435D4E"/>
    <w:rsid w:val="22443B3A"/>
    <w:rsid w:val="2245419D"/>
    <w:rsid w:val="224A0A33"/>
    <w:rsid w:val="226A144B"/>
    <w:rsid w:val="22916662"/>
    <w:rsid w:val="22965A26"/>
    <w:rsid w:val="22FE317D"/>
    <w:rsid w:val="237704D4"/>
    <w:rsid w:val="23847F75"/>
    <w:rsid w:val="23891077"/>
    <w:rsid w:val="23A1558C"/>
    <w:rsid w:val="23BE50B1"/>
    <w:rsid w:val="2422161E"/>
    <w:rsid w:val="24423D5E"/>
    <w:rsid w:val="246E6851"/>
    <w:rsid w:val="24912949"/>
    <w:rsid w:val="24942E5E"/>
    <w:rsid w:val="24954F65"/>
    <w:rsid w:val="24AA3A0B"/>
    <w:rsid w:val="24C7511E"/>
    <w:rsid w:val="24F50A0F"/>
    <w:rsid w:val="25201F1F"/>
    <w:rsid w:val="252C0529"/>
    <w:rsid w:val="255F47F5"/>
    <w:rsid w:val="257F04AC"/>
    <w:rsid w:val="258B7119"/>
    <w:rsid w:val="25E53B95"/>
    <w:rsid w:val="25EB17AB"/>
    <w:rsid w:val="25FF1317"/>
    <w:rsid w:val="26487E8F"/>
    <w:rsid w:val="2652435A"/>
    <w:rsid w:val="266362EA"/>
    <w:rsid w:val="26791D53"/>
    <w:rsid w:val="268A5041"/>
    <w:rsid w:val="269A59A1"/>
    <w:rsid w:val="26D96305"/>
    <w:rsid w:val="26E72CF4"/>
    <w:rsid w:val="26E96527"/>
    <w:rsid w:val="2729330D"/>
    <w:rsid w:val="27293F76"/>
    <w:rsid w:val="273B6B9C"/>
    <w:rsid w:val="275642B6"/>
    <w:rsid w:val="2797346E"/>
    <w:rsid w:val="27984D8A"/>
    <w:rsid w:val="27CA09CA"/>
    <w:rsid w:val="27CC625C"/>
    <w:rsid w:val="27F66136"/>
    <w:rsid w:val="27FF1758"/>
    <w:rsid w:val="28026E78"/>
    <w:rsid w:val="28406D20"/>
    <w:rsid w:val="28526822"/>
    <w:rsid w:val="285745A9"/>
    <w:rsid w:val="28604488"/>
    <w:rsid w:val="286E70AC"/>
    <w:rsid w:val="287F60B2"/>
    <w:rsid w:val="28A271D5"/>
    <w:rsid w:val="28EC101B"/>
    <w:rsid w:val="29604B9E"/>
    <w:rsid w:val="29696297"/>
    <w:rsid w:val="297011FE"/>
    <w:rsid w:val="29F90436"/>
    <w:rsid w:val="29FF1B5A"/>
    <w:rsid w:val="2A254E63"/>
    <w:rsid w:val="2A275D31"/>
    <w:rsid w:val="2A47716F"/>
    <w:rsid w:val="2A816DBB"/>
    <w:rsid w:val="2A841DAD"/>
    <w:rsid w:val="2AE168E0"/>
    <w:rsid w:val="2AE9690F"/>
    <w:rsid w:val="2B2F33CE"/>
    <w:rsid w:val="2B400609"/>
    <w:rsid w:val="2B4324C3"/>
    <w:rsid w:val="2B762790"/>
    <w:rsid w:val="2B7A2176"/>
    <w:rsid w:val="2BAC2B14"/>
    <w:rsid w:val="2BC73FBA"/>
    <w:rsid w:val="2BFF60E5"/>
    <w:rsid w:val="2C0042E3"/>
    <w:rsid w:val="2C0D59AC"/>
    <w:rsid w:val="2C2D5D74"/>
    <w:rsid w:val="2C334F61"/>
    <w:rsid w:val="2C3D20DB"/>
    <w:rsid w:val="2C71221F"/>
    <w:rsid w:val="2C715093"/>
    <w:rsid w:val="2CF75D34"/>
    <w:rsid w:val="2D3349E0"/>
    <w:rsid w:val="2D6977F4"/>
    <w:rsid w:val="2DDB0952"/>
    <w:rsid w:val="2DFB52D7"/>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2FEF2C1A"/>
    <w:rsid w:val="300C6664"/>
    <w:rsid w:val="302F52C6"/>
    <w:rsid w:val="30450B4E"/>
    <w:rsid w:val="30465275"/>
    <w:rsid w:val="30EB3D2E"/>
    <w:rsid w:val="31061102"/>
    <w:rsid w:val="310D0629"/>
    <w:rsid w:val="31101099"/>
    <w:rsid w:val="31210BB1"/>
    <w:rsid w:val="313D15D9"/>
    <w:rsid w:val="31A04CAD"/>
    <w:rsid w:val="31A70211"/>
    <w:rsid w:val="31B15053"/>
    <w:rsid w:val="320A79AF"/>
    <w:rsid w:val="3256082B"/>
    <w:rsid w:val="327D7E69"/>
    <w:rsid w:val="32826152"/>
    <w:rsid w:val="329A3B71"/>
    <w:rsid w:val="32AC6BA0"/>
    <w:rsid w:val="32EC51EE"/>
    <w:rsid w:val="33116010"/>
    <w:rsid w:val="331546C4"/>
    <w:rsid w:val="33435756"/>
    <w:rsid w:val="33656AA9"/>
    <w:rsid w:val="33682FD0"/>
    <w:rsid w:val="33782EB9"/>
    <w:rsid w:val="33A16094"/>
    <w:rsid w:val="33E6234B"/>
    <w:rsid w:val="33F80618"/>
    <w:rsid w:val="340E49EF"/>
    <w:rsid w:val="3465554A"/>
    <w:rsid w:val="34921A81"/>
    <w:rsid w:val="34983DE3"/>
    <w:rsid w:val="34A64D07"/>
    <w:rsid w:val="34AA5967"/>
    <w:rsid w:val="34AB35B3"/>
    <w:rsid w:val="34B10AAC"/>
    <w:rsid w:val="34BF6C35"/>
    <w:rsid w:val="34E33701"/>
    <w:rsid w:val="34F5635F"/>
    <w:rsid w:val="350C3926"/>
    <w:rsid w:val="352008D2"/>
    <w:rsid w:val="354811BC"/>
    <w:rsid w:val="35521A2B"/>
    <w:rsid w:val="355E472E"/>
    <w:rsid w:val="35864EAB"/>
    <w:rsid w:val="359E40E8"/>
    <w:rsid w:val="35C22B6B"/>
    <w:rsid w:val="35EA737B"/>
    <w:rsid w:val="36706ADF"/>
    <w:rsid w:val="36833C5C"/>
    <w:rsid w:val="36A129F2"/>
    <w:rsid w:val="36B3095D"/>
    <w:rsid w:val="36D22597"/>
    <w:rsid w:val="371719A6"/>
    <w:rsid w:val="371E35B2"/>
    <w:rsid w:val="37564D03"/>
    <w:rsid w:val="37751EC2"/>
    <w:rsid w:val="37C14E9C"/>
    <w:rsid w:val="37C77C1E"/>
    <w:rsid w:val="37DF2B05"/>
    <w:rsid w:val="37EC66BC"/>
    <w:rsid w:val="380B4369"/>
    <w:rsid w:val="38233460"/>
    <w:rsid w:val="388010B8"/>
    <w:rsid w:val="38EC419A"/>
    <w:rsid w:val="38FA6DBA"/>
    <w:rsid w:val="390E5CB1"/>
    <w:rsid w:val="3933355D"/>
    <w:rsid w:val="39406294"/>
    <w:rsid w:val="39474657"/>
    <w:rsid w:val="394E2214"/>
    <w:rsid w:val="397E36C5"/>
    <w:rsid w:val="399A1E48"/>
    <w:rsid w:val="39A10C32"/>
    <w:rsid w:val="39CC7911"/>
    <w:rsid w:val="39D30EB6"/>
    <w:rsid w:val="39E44839"/>
    <w:rsid w:val="39F5243C"/>
    <w:rsid w:val="39F96B6F"/>
    <w:rsid w:val="3A1E6C98"/>
    <w:rsid w:val="3A457B72"/>
    <w:rsid w:val="3A4A1178"/>
    <w:rsid w:val="3A4A2286"/>
    <w:rsid w:val="3AA6726B"/>
    <w:rsid w:val="3AC21656"/>
    <w:rsid w:val="3AE82075"/>
    <w:rsid w:val="3B017FBE"/>
    <w:rsid w:val="3B307A72"/>
    <w:rsid w:val="3B5318E0"/>
    <w:rsid w:val="3B93174A"/>
    <w:rsid w:val="3B9335A4"/>
    <w:rsid w:val="3B992613"/>
    <w:rsid w:val="3BB24F73"/>
    <w:rsid w:val="3BCD490E"/>
    <w:rsid w:val="3BD91718"/>
    <w:rsid w:val="3BDB6726"/>
    <w:rsid w:val="3C0178D1"/>
    <w:rsid w:val="3C056780"/>
    <w:rsid w:val="3C0B3B20"/>
    <w:rsid w:val="3C1860E9"/>
    <w:rsid w:val="3C1F03E3"/>
    <w:rsid w:val="3C265FAB"/>
    <w:rsid w:val="3C45620B"/>
    <w:rsid w:val="3CF7750A"/>
    <w:rsid w:val="3D05076D"/>
    <w:rsid w:val="3D262FCD"/>
    <w:rsid w:val="3D6E1622"/>
    <w:rsid w:val="3D7312A1"/>
    <w:rsid w:val="3D842BF3"/>
    <w:rsid w:val="3D8F2FFE"/>
    <w:rsid w:val="3D8F779B"/>
    <w:rsid w:val="3DB31849"/>
    <w:rsid w:val="3DD1395F"/>
    <w:rsid w:val="3DE33D19"/>
    <w:rsid w:val="3DF2341F"/>
    <w:rsid w:val="3E014244"/>
    <w:rsid w:val="3E15702B"/>
    <w:rsid w:val="3E247857"/>
    <w:rsid w:val="3E38578C"/>
    <w:rsid w:val="3E477D61"/>
    <w:rsid w:val="3E5E1696"/>
    <w:rsid w:val="3E984240"/>
    <w:rsid w:val="3EAD34C3"/>
    <w:rsid w:val="3EBE7C37"/>
    <w:rsid w:val="3F120426"/>
    <w:rsid w:val="3F1976B6"/>
    <w:rsid w:val="3F2E2B3A"/>
    <w:rsid w:val="3F2F7A0B"/>
    <w:rsid w:val="3F5E6431"/>
    <w:rsid w:val="3F7950EC"/>
    <w:rsid w:val="3F8C0907"/>
    <w:rsid w:val="3F9B5E29"/>
    <w:rsid w:val="400454FD"/>
    <w:rsid w:val="40204729"/>
    <w:rsid w:val="40552C1F"/>
    <w:rsid w:val="4057229F"/>
    <w:rsid w:val="405E3BCF"/>
    <w:rsid w:val="405F7DEE"/>
    <w:rsid w:val="40992FB0"/>
    <w:rsid w:val="40DB7824"/>
    <w:rsid w:val="410115DD"/>
    <w:rsid w:val="41205E59"/>
    <w:rsid w:val="412E3AFD"/>
    <w:rsid w:val="41650F8E"/>
    <w:rsid w:val="41654AEA"/>
    <w:rsid w:val="418A21AD"/>
    <w:rsid w:val="41A212A1"/>
    <w:rsid w:val="41EC42BB"/>
    <w:rsid w:val="421D67B6"/>
    <w:rsid w:val="4239228E"/>
    <w:rsid w:val="428A1304"/>
    <w:rsid w:val="42E44C98"/>
    <w:rsid w:val="431B6113"/>
    <w:rsid w:val="433C187A"/>
    <w:rsid w:val="435749D4"/>
    <w:rsid w:val="438834DF"/>
    <w:rsid w:val="43A20A3C"/>
    <w:rsid w:val="440B4462"/>
    <w:rsid w:val="443A0603"/>
    <w:rsid w:val="444C66C3"/>
    <w:rsid w:val="44562031"/>
    <w:rsid w:val="44630F9F"/>
    <w:rsid w:val="446472DA"/>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680E90"/>
    <w:rsid w:val="47862654"/>
    <w:rsid w:val="47C21415"/>
    <w:rsid w:val="48206AB3"/>
    <w:rsid w:val="48252F69"/>
    <w:rsid w:val="4828061F"/>
    <w:rsid w:val="4849652E"/>
    <w:rsid w:val="4873341F"/>
    <w:rsid w:val="487415C1"/>
    <w:rsid w:val="48813383"/>
    <w:rsid w:val="48994869"/>
    <w:rsid w:val="489B6E47"/>
    <w:rsid w:val="48B91344"/>
    <w:rsid w:val="48C3403D"/>
    <w:rsid w:val="48C60564"/>
    <w:rsid w:val="48E93727"/>
    <w:rsid w:val="4901682D"/>
    <w:rsid w:val="4914486F"/>
    <w:rsid w:val="491F1E3E"/>
    <w:rsid w:val="497E4D40"/>
    <w:rsid w:val="498D6EB3"/>
    <w:rsid w:val="49A14844"/>
    <w:rsid w:val="49CD147E"/>
    <w:rsid w:val="4A187736"/>
    <w:rsid w:val="4A38329E"/>
    <w:rsid w:val="4A595408"/>
    <w:rsid w:val="4A606C52"/>
    <w:rsid w:val="4A786E7C"/>
    <w:rsid w:val="4A812037"/>
    <w:rsid w:val="4ABF0429"/>
    <w:rsid w:val="4ACA1E61"/>
    <w:rsid w:val="4ACB00B3"/>
    <w:rsid w:val="4B05514E"/>
    <w:rsid w:val="4B1D1058"/>
    <w:rsid w:val="4B276A95"/>
    <w:rsid w:val="4B2C3E78"/>
    <w:rsid w:val="4B386DCB"/>
    <w:rsid w:val="4B7A5635"/>
    <w:rsid w:val="4B7D224D"/>
    <w:rsid w:val="4B88354F"/>
    <w:rsid w:val="4B897577"/>
    <w:rsid w:val="4BA739F3"/>
    <w:rsid w:val="4BA803F5"/>
    <w:rsid w:val="4BAA41B4"/>
    <w:rsid w:val="4BB07AFB"/>
    <w:rsid w:val="4BCA5B3F"/>
    <w:rsid w:val="4BCB2F27"/>
    <w:rsid w:val="4BDF5F68"/>
    <w:rsid w:val="4BEF3793"/>
    <w:rsid w:val="4BF4339D"/>
    <w:rsid w:val="4C8B29AF"/>
    <w:rsid w:val="4C8C73CE"/>
    <w:rsid w:val="4C9B1D07"/>
    <w:rsid w:val="4C9E6FC3"/>
    <w:rsid w:val="4CA010BB"/>
    <w:rsid w:val="4CBA3F1B"/>
    <w:rsid w:val="4CBB5446"/>
    <w:rsid w:val="4CC1550E"/>
    <w:rsid w:val="4CCB5B06"/>
    <w:rsid w:val="4CF17621"/>
    <w:rsid w:val="4D0A37F3"/>
    <w:rsid w:val="4D2717ED"/>
    <w:rsid w:val="4D380018"/>
    <w:rsid w:val="4D585803"/>
    <w:rsid w:val="4D5D6998"/>
    <w:rsid w:val="4D7D0483"/>
    <w:rsid w:val="4D8712EF"/>
    <w:rsid w:val="4DBC29E8"/>
    <w:rsid w:val="4DFC778B"/>
    <w:rsid w:val="4E2D0EEC"/>
    <w:rsid w:val="4E4C4964"/>
    <w:rsid w:val="4E5F365E"/>
    <w:rsid w:val="4E91728C"/>
    <w:rsid w:val="4EE01C53"/>
    <w:rsid w:val="4EF42EFE"/>
    <w:rsid w:val="4F2204BE"/>
    <w:rsid w:val="4F544163"/>
    <w:rsid w:val="4F6C798B"/>
    <w:rsid w:val="4F6F4D85"/>
    <w:rsid w:val="4F7F76BE"/>
    <w:rsid w:val="4FA7451F"/>
    <w:rsid w:val="4FB54E8E"/>
    <w:rsid w:val="4FDE358A"/>
    <w:rsid w:val="4FFD595B"/>
    <w:rsid w:val="501832A3"/>
    <w:rsid w:val="50577CF3"/>
    <w:rsid w:val="50632B28"/>
    <w:rsid w:val="50B27620"/>
    <w:rsid w:val="50B769E4"/>
    <w:rsid w:val="50C57AB0"/>
    <w:rsid w:val="50C63B0F"/>
    <w:rsid w:val="50E023DF"/>
    <w:rsid w:val="50F36C04"/>
    <w:rsid w:val="50F61095"/>
    <w:rsid w:val="51011AC0"/>
    <w:rsid w:val="51086CD3"/>
    <w:rsid w:val="511B035E"/>
    <w:rsid w:val="512B6610"/>
    <w:rsid w:val="515E0C76"/>
    <w:rsid w:val="517A3160"/>
    <w:rsid w:val="519D5BDA"/>
    <w:rsid w:val="51BA49DE"/>
    <w:rsid w:val="51D53FD0"/>
    <w:rsid w:val="51F47828"/>
    <w:rsid w:val="526606C2"/>
    <w:rsid w:val="527F0375"/>
    <w:rsid w:val="528D4348"/>
    <w:rsid w:val="52BF3EA5"/>
    <w:rsid w:val="52E5462F"/>
    <w:rsid w:val="52F263F9"/>
    <w:rsid w:val="53030193"/>
    <w:rsid w:val="5305544B"/>
    <w:rsid w:val="531427EC"/>
    <w:rsid w:val="531C785E"/>
    <w:rsid w:val="532C3A1B"/>
    <w:rsid w:val="533770C8"/>
    <w:rsid w:val="5338243A"/>
    <w:rsid w:val="534D56D1"/>
    <w:rsid w:val="5392027B"/>
    <w:rsid w:val="53B536AF"/>
    <w:rsid w:val="53BD0CC2"/>
    <w:rsid w:val="53E84DC7"/>
    <w:rsid w:val="54091EFA"/>
    <w:rsid w:val="54271911"/>
    <w:rsid w:val="543A753C"/>
    <w:rsid w:val="543B42DA"/>
    <w:rsid w:val="54481E7C"/>
    <w:rsid w:val="54866D6A"/>
    <w:rsid w:val="54E64A90"/>
    <w:rsid w:val="54EF1C22"/>
    <w:rsid w:val="54F43EB0"/>
    <w:rsid w:val="55025399"/>
    <w:rsid w:val="553A1B24"/>
    <w:rsid w:val="55627866"/>
    <w:rsid w:val="55631682"/>
    <w:rsid w:val="55913DE9"/>
    <w:rsid w:val="55B36956"/>
    <w:rsid w:val="55BC0A87"/>
    <w:rsid w:val="55C44EE3"/>
    <w:rsid w:val="55CD6DBF"/>
    <w:rsid w:val="55D409AB"/>
    <w:rsid w:val="55DA38A0"/>
    <w:rsid w:val="560E70A6"/>
    <w:rsid w:val="5614483C"/>
    <w:rsid w:val="564C33E3"/>
    <w:rsid w:val="565A5E3A"/>
    <w:rsid w:val="56AA311A"/>
    <w:rsid w:val="56B357D4"/>
    <w:rsid w:val="56C808AC"/>
    <w:rsid w:val="570E3A04"/>
    <w:rsid w:val="576B630C"/>
    <w:rsid w:val="57906076"/>
    <w:rsid w:val="57C77E54"/>
    <w:rsid w:val="57F77E8D"/>
    <w:rsid w:val="58183EBD"/>
    <w:rsid w:val="584101D8"/>
    <w:rsid w:val="584366A5"/>
    <w:rsid w:val="58464AEC"/>
    <w:rsid w:val="587F072F"/>
    <w:rsid w:val="58AE3322"/>
    <w:rsid w:val="58D37D03"/>
    <w:rsid w:val="58F80B81"/>
    <w:rsid w:val="59171D29"/>
    <w:rsid w:val="5922190D"/>
    <w:rsid w:val="594B64BC"/>
    <w:rsid w:val="594F3C5E"/>
    <w:rsid w:val="5954554D"/>
    <w:rsid w:val="59561490"/>
    <w:rsid w:val="59B44408"/>
    <w:rsid w:val="59C1394B"/>
    <w:rsid w:val="59E4333B"/>
    <w:rsid w:val="59FA62BF"/>
    <w:rsid w:val="5A327175"/>
    <w:rsid w:val="5A461F67"/>
    <w:rsid w:val="5A4D12DB"/>
    <w:rsid w:val="5A5022EF"/>
    <w:rsid w:val="5AA95942"/>
    <w:rsid w:val="5AAB580B"/>
    <w:rsid w:val="5AB03694"/>
    <w:rsid w:val="5B12588A"/>
    <w:rsid w:val="5B331AD4"/>
    <w:rsid w:val="5B3752F1"/>
    <w:rsid w:val="5B8836FB"/>
    <w:rsid w:val="5B9444F1"/>
    <w:rsid w:val="5B9A1A90"/>
    <w:rsid w:val="5BEA616D"/>
    <w:rsid w:val="5C620610"/>
    <w:rsid w:val="5C7C27CC"/>
    <w:rsid w:val="5C834903"/>
    <w:rsid w:val="5C8E6646"/>
    <w:rsid w:val="5CA1473C"/>
    <w:rsid w:val="5CBD6A4B"/>
    <w:rsid w:val="5D0527A4"/>
    <w:rsid w:val="5D3F5F0C"/>
    <w:rsid w:val="5D403159"/>
    <w:rsid w:val="5D743AF2"/>
    <w:rsid w:val="5D784DB7"/>
    <w:rsid w:val="5D804113"/>
    <w:rsid w:val="5D86298B"/>
    <w:rsid w:val="5DAA3B58"/>
    <w:rsid w:val="5DF574B1"/>
    <w:rsid w:val="5E01598A"/>
    <w:rsid w:val="5E0518AE"/>
    <w:rsid w:val="5E0968EF"/>
    <w:rsid w:val="5E211941"/>
    <w:rsid w:val="5E2B7EEF"/>
    <w:rsid w:val="5E7319C7"/>
    <w:rsid w:val="5E900373"/>
    <w:rsid w:val="5EA05747"/>
    <w:rsid w:val="5F3538F6"/>
    <w:rsid w:val="5F3F14B1"/>
    <w:rsid w:val="5F4A1944"/>
    <w:rsid w:val="5F623A61"/>
    <w:rsid w:val="5F736A1C"/>
    <w:rsid w:val="5F7C1524"/>
    <w:rsid w:val="60715398"/>
    <w:rsid w:val="60F63558"/>
    <w:rsid w:val="60FF70F2"/>
    <w:rsid w:val="61077514"/>
    <w:rsid w:val="61431576"/>
    <w:rsid w:val="61796DA8"/>
    <w:rsid w:val="61B07674"/>
    <w:rsid w:val="61D16983"/>
    <w:rsid w:val="624F23FA"/>
    <w:rsid w:val="62A108AF"/>
    <w:rsid w:val="63B16DA6"/>
    <w:rsid w:val="63C95935"/>
    <w:rsid w:val="64234664"/>
    <w:rsid w:val="64325BAA"/>
    <w:rsid w:val="644B3413"/>
    <w:rsid w:val="6474563E"/>
    <w:rsid w:val="649D61FE"/>
    <w:rsid w:val="64DD2E2F"/>
    <w:rsid w:val="64E57B6C"/>
    <w:rsid w:val="650C79CC"/>
    <w:rsid w:val="651F0B40"/>
    <w:rsid w:val="654A3BA1"/>
    <w:rsid w:val="65720792"/>
    <w:rsid w:val="65727ED4"/>
    <w:rsid w:val="658D11B9"/>
    <w:rsid w:val="65A15618"/>
    <w:rsid w:val="65D06126"/>
    <w:rsid w:val="66042B5B"/>
    <w:rsid w:val="660467A7"/>
    <w:rsid w:val="66060EC6"/>
    <w:rsid w:val="66154481"/>
    <w:rsid w:val="66471D7C"/>
    <w:rsid w:val="667D6EFB"/>
    <w:rsid w:val="66BE152B"/>
    <w:rsid w:val="66FD7813"/>
    <w:rsid w:val="67825ED9"/>
    <w:rsid w:val="67A0385B"/>
    <w:rsid w:val="67B37940"/>
    <w:rsid w:val="686C2A53"/>
    <w:rsid w:val="689C4BB9"/>
    <w:rsid w:val="68A245E2"/>
    <w:rsid w:val="68AB2E7A"/>
    <w:rsid w:val="68B0544A"/>
    <w:rsid w:val="69056599"/>
    <w:rsid w:val="690802CD"/>
    <w:rsid w:val="690F3CAF"/>
    <w:rsid w:val="69C04F4C"/>
    <w:rsid w:val="69DC03F6"/>
    <w:rsid w:val="6A0C28CE"/>
    <w:rsid w:val="6A650A4D"/>
    <w:rsid w:val="6B7060C6"/>
    <w:rsid w:val="6B8F25DF"/>
    <w:rsid w:val="6B911929"/>
    <w:rsid w:val="6BA47AFA"/>
    <w:rsid w:val="6BDA5F51"/>
    <w:rsid w:val="6C5E257D"/>
    <w:rsid w:val="6C60029B"/>
    <w:rsid w:val="6C927168"/>
    <w:rsid w:val="6CD77057"/>
    <w:rsid w:val="6D2D1DF5"/>
    <w:rsid w:val="6D413DAD"/>
    <w:rsid w:val="6D6142C0"/>
    <w:rsid w:val="6D8C5247"/>
    <w:rsid w:val="6DA41C84"/>
    <w:rsid w:val="6DB10C6E"/>
    <w:rsid w:val="6E535B46"/>
    <w:rsid w:val="6E904287"/>
    <w:rsid w:val="6EA83056"/>
    <w:rsid w:val="6EB55F1D"/>
    <w:rsid w:val="6EBE51FD"/>
    <w:rsid w:val="6ED0363B"/>
    <w:rsid w:val="6EF364B6"/>
    <w:rsid w:val="6F032B59"/>
    <w:rsid w:val="6F2540A9"/>
    <w:rsid w:val="6F63625D"/>
    <w:rsid w:val="6F8A4CFB"/>
    <w:rsid w:val="700B56BF"/>
    <w:rsid w:val="700F5C73"/>
    <w:rsid w:val="703F1970"/>
    <w:rsid w:val="707C2004"/>
    <w:rsid w:val="70803FD4"/>
    <w:rsid w:val="70817FC6"/>
    <w:rsid w:val="709A3F00"/>
    <w:rsid w:val="70AC0C11"/>
    <w:rsid w:val="70AF0E0B"/>
    <w:rsid w:val="70B66BB9"/>
    <w:rsid w:val="70C87CAA"/>
    <w:rsid w:val="70CF179B"/>
    <w:rsid w:val="70EF68AE"/>
    <w:rsid w:val="70F84783"/>
    <w:rsid w:val="71502811"/>
    <w:rsid w:val="71723BF8"/>
    <w:rsid w:val="71946BA2"/>
    <w:rsid w:val="71B459C5"/>
    <w:rsid w:val="71CA10F9"/>
    <w:rsid w:val="71CB4143"/>
    <w:rsid w:val="71DD1D77"/>
    <w:rsid w:val="72037883"/>
    <w:rsid w:val="721C092E"/>
    <w:rsid w:val="722F148A"/>
    <w:rsid w:val="723D7934"/>
    <w:rsid w:val="727266B8"/>
    <w:rsid w:val="72804A5F"/>
    <w:rsid w:val="72C81D24"/>
    <w:rsid w:val="73510736"/>
    <w:rsid w:val="73772C48"/>
    <w:rsid w:val="73AB01D2"/>
    <w:rsid w:val="73B34B68"/>
    <w:rsid w:val="73C87749"/>
    <w:rsid w:val="73D74B24"/>
    <w:rsid w:val="742D20BE"/>
    <w:rsid w:val="74300B51"/>
    <w:rsid w:val="74373E1F"/>
    <w:rsid w:val="74557B08"/>
    <w:rsid w:val="745909D3"/>
    <w:rsid w:val="74757604"/>
    <w:rsid w:val="749C0827"/>
    <w:rsid w:val="753C42B2"/>
    <w:rsid w:val="756026FD"/>
    <w:rsid w:val="757027FD"/>
    <w:rsid w:val="76164029"/>
    <w:rsid w:val="764C7835"/>
    <w:rsid w:val="76606237"/>
    <w:rsid w:val="768371E5"/>
    <w:rsid w:val="76BC0040"/>
    <w:rsid w:val="76E97240"/>
    <w:rsid w:val="770019E4"/>
    <w:rsid w:val="77547F95"/>
    <w:rsid w:val="77581BDC"/>
    <w:rsid w:val="77AD4519"/>
    <w:rsid w:val="77DF77F2"/>
    <w:rsid w:val="77F167F8"/>
    <w:rsid w:val="77F53FBA"/>
    <w:rsid w:val="77FE3901"/>
    <w:rsid w:val="782E61C7"/>
    <w:rsid w:val="78365861"/>
    <w:rsid w:val="783D7FBC"/>
    <w:rsid w:val="78A056D5"/>
    <w:rsid w:val="78B612F9"/>
    <w:rsid w:val="78B86F01"/>
    <w:rsid w:val="78BD180A"/>
    <w:rsid w:val="78BD2213"/>
    <w:rsid w:val="78BE62B2"/>
    <w:rsid w:val="78CA62AD"/>
    <w:rsid w:val="79383F91"/>
    <w:rsid w:val="7942661A"/>
    <w:rsid w:val="796C56F2"/>
    <w:rsid w:val="79DA4CD9"/>
    <w:rsid w:val="79DC3C10"/>
    <w:rsid w:val="79F32D29"/>
    <w:rsid w:val="7A3031E0"/>
    <w:rsid w:val="7A5F3AF6"/>
    <w:rsid w:val="7A640644"/>
    <w:rsid w:val="7A66765A"/>
    <w:rsid w:val="7AB07AB2"/>
    <w:rsid w:val="7B1F03B9"/>
    <w:rsid w:val="7B362A78"/>
    <w:rsid w:val="7B711D02"/>
    <w:rsid w:val="7B7C3CE3"/>
    <w:rsid w:val="7B84301F"/>
    <w:rsid w:val="7B937DA9"/>
    <w:rsid w:val="7BB813CF"/>
    <w:rsid w:val="7BFB159A"/>
    <w:rsid w:val="7C052BBD"/>
    <w:rsid w:val="7C240326"/>
    <w:rsid w:val="7C3F26D1"/>
    <w:rsid w:val="7C5365EF"/>
    <w:rsid w:val="7C5F4A2B"/>
    <w:rsid w:val="7C6035AF"/>
    <w:rsid w:val="7C6E6F9B"/>
    <w:rsid w:val="7C724B1A"/>
    <w:rsid w:val="7CB144AC"/>
    <w:rsid w:val="7CCA16C9"/>
    <w:rsid w:val="7D135FA7"/>
    <w:rsid w:val="7D733B0F"/>
    <w:rsid w:val="7DDB79A8"/>
    <w:rsid w:val="7DE6477E"/>
    <w:rsid w:val="7E17286F"/>
    <w:rsid w:val="7E265B35"/>
    <w:rsid w:val="7E395726"/>
    <w:rsid w:val="7E45714A"/>
    <w:rsid w:val="7E54076D"/>
    <w:rsid w:val="7E6E7AAC"/>
    <w:rsid w:val="7E713588"/>
    <w:rsid w:val="7E836D97"/>
    <w:rsid w:val="7E8E73EF"/>
    <w:rsid w:val="7EA54642"/>
    <w:rsid w:val="7EB0669D"/>
    <w:rsid w:val="7EE74E8F"/>
    <w:rsid w:val="7EF23A73"/>
    <w:rsid w:val="7EF820D6"/>
    <w:rsid w:val="7F523D4E"/>
    <w:rsid w:val="7F7D4793"/>
    <w:rsid w:val="7FDA7E75"/>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 w:type="character" w:customStyle="1" w:styleId="16">
    <w:name w:val="19"/>
    <w:basedOn w:val="7"/>
    <w:qFormat/>
    <w:uiPriority w:val="0"/>
    <w:rPr>
      <w:rFonts w:ascii="Times New Roman" w:hAnsi="Times New Roman" w:cs="Times New Roman"/>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5493</Words>
  <Characters>6169</Characters>
  <Lines>16</Lines>
  <Paragraphs>4</Paragraphs>
  <TotalTime>0</TotalTime>
  <ScaleCrop>false</ScaleCrop>
  <LinksUpToDate>false</LinksUpToDate>
  <CharactersWithSpaces>6548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20200618008</cp:lastModifiedBy>
  <cp:lastPrinted>2023-08-10T09:16:00Z</cp:lastPrinted>
  <dcterms:modified xsi:type="dcterms:W3CDTF">2025-08-20T08:04:06Z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C5C051BE58ED47B681D748640379E264</vt:lpwstr>
  </property>
</Properties>
</file>