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textAlignment w:val="auto"/>
        <w:rPr>
          <w:rFonts w:hint="eastAsia" w:ascii="宋体" w:hAnsi="宋体" w:eastAsia="方正仿宋_GBK" w:cs="方正仿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重庆市江津区军粮供应站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lang w:val="en-US" w:eastAsia="zh-CN"/>
        </w:rPr>
        <w:t>4年度决算公开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textAlignment w:val="auto"/>
        <w:rPr>
          <w:rFonts w:hint="eastAsia" w:ascii="宋体" w:hAnsi="宋体" w:eastAsia="方正仿宋_GBK" w:cs="方正仿宋_GBK"/>
          <w:color w:val="auto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贯彻国家军粮供应政策，负责全区驻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highlight w:val="none"/>
          <w:lang w:val="en-US" w:eastAsia="zh-CN" w:bidi="ar-SA"/>
        </w:rPr>
        <w:t>地部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队的军粮管理、供应及前运粮加工、发运工作。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机构设置</w:t>
      </w:r>
    </w:p>
    <w:p>
      <w:pPr>
        <w:pStyle w:val="9"/>
        <w:tabs>
          <w:tab w:val="center" w:pos="4153"/>
          <w:tab w:val="left" w:pos="7275"/>
        </w:tabs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正科级参公事业单位，无内设科室。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部门决算情况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部门收支总体情况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收入支出总体情况。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2024年度收入总计180.07万元，支出总计180.07万元。收支较上年增加16.35万元，增长9.99%，主要原因为人员变动。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收入情况。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2024年度本年收入合计180.07万元，较上年增加16.35万元，增长9.99%，主要原因为人员变动。其中：财政拨款收入180.07万元，占比100%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支出情况。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2024年度本年支出合计180.07万元，</w:t>
      </w:r>
      <w:r>
        <w:rPr>
          <w:rFonts w:hint="eastAsia" w:ascii="宋体" w:hAnsi="宋体" w:eastAsia="方正仿宋_GBK" w:cs="方正仿宋_GBK"/>
          <w:color w:val="auto"/>
          <w:sz w:val="32"/>
        </w:rPr>
        <w:t>较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上年</w:t>
      </w:r>
      <w:r>
        <w:rPr>
          <w:rFonts w:hint="eastAsia" w:ascii="宋体" w:hAnsi="宋体" w:eastAsia="方正仿宋_GBK" w:cs="方正仿宋_GBK"/>
          <w:color w:val="auto"/>
          <w:sz w:val="32"/>
        </w:rPr>
        <w:t>增加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16.35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增长9.99%，</w:t>
      </w:r>
      <w:r>
        <w:rPr>
          <w:rFonts w:hint="eastAsia" w:ascii="宋体" w:hAnsi="宋体" w:eastAsia="方正仿宋_GBK" w:cs="方正仿宋_GBK"/>
          <w:color w:val="auto"/>
          <w:sz w:val="32"/>
        </w:rPr>
        <w:t>主要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原因为人员变动。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其中：基本支出180.07万元，占比100%。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结转结余情况。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2024年度年末结转和结余0万元，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与上年持平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财政拨款收支总体情况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2024年度财政拨款收入总计180.07万元，支出总计180.07万元。</w:t>
      </w:r>
      <w:r>
        <w:rPr>
          <w:rFonts w:hint="eastAsia" w:ascii="宋体" w:hAnsi="宋体" w:eastAsia="方正仿宋_GBK" w:cs="方正仿宋_GBK"/>
          <w:color w:val="auto"/>
          <w:sz w:val="32"/>
        </w:rPr>
        <w:t>收支较上年增加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16.35</w:t>
      </w:r>
      <w:r>
        <w:rPr>
          <w:rFonts w:hint="eastAsia" w:ascii="宋体" w:hAnsi="宋体" w:eastAsia="方正仿宋_GBK" w:cs="方正仿宋_GBK"/>
          <w:color w:val="auto"/>
          <w:sz w:val="32"/>
        </w:rPr>
        <w:t>万元</w:t>
      </w:r>
      <w:r>
        <w:rPr>
          <w:rFonts w:hint="eastAsia" w:ascii="宋体" w:hAnsi="宋体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增长9.99%，</w:t>
      </w:r>
      <w:r>
        <w:rPr>
          <w:rFonts w:hint="eastAsia" w:ascii="宋体" w:hAnsi="宋体" w:eastAsia="方正仿宋_GBK" w:cs="方正仿宋_GBK"/>
          <w:color w:val="auto"/>
          <w:sz w:val="32"/>
        </w:rPr>
        <w:t>主要原因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为人员变动。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一般公共预算财政拨款收支总体情况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收入情况。</w:t>
      </w:r>
      <w:r>
        <w:rPr>
          <w:rFonts w:hint="eastAsia" w:ascii="宋体" w:hAnsi="宋体" w:eastAsia="方正仿宋_GBK" w:cs="方正仿宋_GBK"/>
          <w:color w:val="auto"/>
          <w:sz w:val="32"/>
        </w:rPr>
        <w:t>202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auto"/>
          <w:sz w:val="32"/>
        </w:rPr>
        <w:t>年度一般公共预算财政拨款收入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180.07</w:t>
      </w:r>
      <w:r>
        <w:rPr>
          <w:rFonts w:hint="eastAsia" w:ascii="宋体" w:hAnsi="宋体" w:eastAsia="方正仿宋_GBK" w:cs="方正仿宋_GBK"/>
          <w:color w:val="auto"/>
          <w:sz w:val="32"/>
        </w:rPr>
        <w:t>万元，较上年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决算数增加16.35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增长9.99</w:t>
      </w:r>
      <w:r>
        <w:rPr>
          <w:rFonts w:hint="eastAsia" w:ascii="宋体" w:hAnsi="宋体" w:eastAsia="方正仿宋_GBK" w:cs="方正仿宋_GBK"/>
          <w:color w:val="auto"/>
          <w:sz w:val="32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</w:rPr>
        <w:t>主要原因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为人员变动。较年初预算数减少9.39万元，下降4.96%，主要原因是人员变动。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此外，年初财政拨款结转和结余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支出情况。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2024年度一般公共预算财政拨款支出180.07万元，</w:t>
      </w:r>
      <w:r>
        <w:rPr>
          <w:rFonts w:hint="eastAsia" w:ascii="宋体" w:hAnsi="宋体" w:eastAsia="方正仿宋_GBK" w:cs="方正仿宋_GBK"/>
          <w:color w:val="auto"/>
          <w:sz w:val="32"/>
        </w:rPr>
        <w:t>较上年决算数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增加16.35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增长9.99</w:t>
      </w:r>
      <w:r>
        <w:rPr>
          <w:rFonts w:hint="eastAsia" w:ascii="宋体" w:hAnsi="宋体" w:eastAsia="方正仿宋_GBK" w:cs="方正仿宋_GBK"/>
          <w:color w:val="auto"/>
          <w:sz w:val="32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</w:rPr>
        <w:t>主要原因是</w:t>
      </w:r>
      <w:r>
        <w:rPr>
          <w:rFonts w:hint="eastAsia" w:ascii="宋体" w:hAnsi="宋体" w:eastAsia="方正仿宋_GBK" w:cs="方正仿宋_GBK"/>
          <w:color w:val="auto"/>
          <w:sz w:val="32"/>
          <w:lang w:eastAsia="zh-CN"/>
        </w:rPr>
        <w:t>人员变动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。较年初预算数减少9.39万元，下降4.96%，主要原因是人员变动。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结转结余情况。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度年末一般公共预算财政拨款结转和结余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与上年持平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3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2"/>
          <w:sz w:val="32"/>
          <w:szCs w:val="22"/>
          <w:lang w:val="en-US" w:eastAsia="zh-CN" w:bidi="ar-SA"/>
        </w:rPr>
        <w:t>比较情况。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本单位2024年度一般公共预算财政拨款支出主要用于以下几个方面：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一般公共服务支出127.68万元，占比70.91%。较年初预算数减少6.46万元，下降4.82%，主要原因是人员变动。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教育支出0万元，较年初预算数减少0.88万元，下降100%，主要原因是因工作安排，未开展职工培训。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社会保障与就业支出28.78万元，占比15.98%。较年初预算数减少1.19万元，下降3.97%，主要原因是人员变动。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卫生健康支出11.29万元，占比6.27%。较年初预算减少0.86万元，下降7.08%，主要原因是人员变动。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住房保障支出12.32万元，占比6.84%，与上年持平。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一般公共预算财政拨款基本支出情况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一般公共预算财政拨款基本支出180.07万元。其中：人员经费152.59万元，主要用于基本工资、津贴补贴、奖金、保险及住房公积金等，较上年决算数增加12.1万元，增长8.61%，主要原因是人员变动。公用经费27.48万元，主要用于邮电费、工会经费、其他交通费、其他商品和服务支出等，较上年决算数增加4.25万元，增长18.3%，主要原因是人员变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（五）政府性基金预算收支决算情况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度无政府性基金预算财政拨款收支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（六）国有资本经营预算财政拨款支出决算情况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度无国有资本经营预算财政拨款支出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outlineLvl w:val="0"/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</w:pP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  <w:t>“三公”经费情况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（一）“三公”经费支出总体情况</w:t>
      </w:r>
    </w:p>
    <w:p>
      <w:pPr>
        <w:pStyle w:val="10"/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60" w:lineRule="exact"/>
        <w:ind w:left="78" w:leftChars="0" w:right="0" w:rightChars="0" w:firstLine="640" w:firstLineChars="200"/>
        <w:jc w:val="both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“三公”经费支出共计</w:t>
      </w:r>
      <w:r>
        <w:rPr>
          <w:rFonts w:hint="eastAsia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0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万元，与年初预算数和上年支出数持平。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（二）“三公”经费分项支出情况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因公出国（境）费用0万元，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公务车购置费用0万元，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公务车运行维护费0万元，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公务接待费0万元，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Fonts w:hint="eastAsia" w:ascii="宋体" w:hAnsi="宋体" w:eastAsia="方正楷体_GBK" w:cs="方正楷体_GBK"/>
          <w:color w:val="auto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（三）“三公”经费实物量情况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本单位因公出国（境）共计0个团组，0人；公务用车购置0辆，公务车保有量为0辆；国内公务接待0批次0人，其中：国内外事接待0批次，0人；国（境）外公务接待0批次，0人。人均接待费0元，车均购置费0万元，车均维护费0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outlineLvl w:val="0"/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</w:pP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  <w:t>四、</w:t>
      </w: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  <w:t>其他需要说明的事项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default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（一）财政拨款会议费和培训费情况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48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年度会议费支出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较上年决算数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0.03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因工作安排，未开展会议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。本年度培训费支出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较上年决算数减少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1.42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因工作安排，未开展职工培训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default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480" w:firstLineChars="15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年度本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机关运行经费支出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27.48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万元，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较上年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增加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4.25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万元，增长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18.3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%，主要原因是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人员变动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。比年初预算数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4.25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万元，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13.39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%，主要原因是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人员变动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。机关运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经费主要用于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邮电费、工会经费、其他交通费、其他商品和服务支出等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（三）国有资产占用情况说明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截至202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年12月31日，本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共有车辆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辆。单价100万元（含）以上设备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不含车辆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台（套）。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（四）政府采购支出说明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本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单位未发生政府采购事项，无相关经费支出。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0"/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Style w:val="8"/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五、预算绩效管理情况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Fonts w:hint="eastAsia" w:ascii="宋体" w:hAnsi="宋体" w:eastAsia="方正楷体_GBK" w:cs="方正楷体_GBK"/>
          <w:color w:val="auto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（一）预算绩效管理工作开展情况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78" w:leftChars="0" w:right="0" w:rightChars="0" w:firstLine="640" w:firstLineChars="200"/>
        <w:jc w:val="both"/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本单位无此事项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（二）绩效自评结果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3" w:firstLineChars="200"/>
        <w:jc w:val="left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1. 绩效目标自评表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78" w:leftChars="0" w:right="0" w:rightChars="0" w:firstLine="640" w:firstLineChars="200"/>
        <w:jc w:val="both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rPr>
          <w:rFonts w:hint="eastAsia" w:ascii="宋体" w:hAnsi="宋体" w:eastAsia="方正仿宋_GBK" w:cs="方正仿宋_GBK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 w:val="0"/>
          <w:color w:val="auto"/>
          <w:kern w:val="0"/>
          <w:sz w:val="32"/>
          <w:szCs w:val="32"/>
        </w:rPr>
        <w:t>绩效自评报告或案例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0"/>
          <w:sz w:val="32"/>
          <w:szCs w:val="32"/>
        </w:rPr>
        <w:t>关于绩效自评结果的说明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（三）重点绩效评价结果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（二）年初结转和结余：指单位上年结转本年使用的基本支出结转、项目支出结转和结余、经营结余。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）年末结转和结余：指单位结转下年的基本支出结转、项目支出结转和结余、经营结余。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基本支出：指为保障机构正常运转、完成日常工作任务而发生的人员经费和公用经费。其中：人员经费指政府收支分类经济科目中的“工资福利支出”和“对个人和家庭的补助”；公用经费指政府收支分类经济科目中除“工资福利支出”和“对个人和家庭的补助”外的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五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机关运行经费：为保障行政单位（含参照公务员法管理的事业单位）运行用于购买货物和服务等的各项公用经费，包括办公及印刷费、邮电费、差旅费、会议费、福利费、日常维护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七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）工资福利支出（支出经济分类科目类级）：反映单位开支的在职职工和编制外长期聘用人员的各类劳动报酬，以及为上述人员缴纳的各项社会保险费等。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）商品和服务支出（支出经济分类科目类级）：反映单位购买商品和服务的支出（不包括用于购置固定资产的支出、战略性和应急储备支出）。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）对个人和家庭的补助（支出经济分类科目类级）：反映用于对个人和家庭的补助支出。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十）其他资本性支出（支出经济分类科目类级）：反映非各级发展与改革部门集中安排的用于购置固定资产、战略性和应急性储备、土地和无形资产，以及构建基础设施、大型修缮和财政支持企业更新改造所发生的支出。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七、决算公开联系方式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本</w:t>
      </w:r>
      <w:bookmarkStart w:id="0" w:name="_GoBack"/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单位</w:t>
      </w:r>
      <w:bookmarkEnd w:id="0"/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决算公开信息反馈和联系方式：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联系人：刘渝萍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联系电话：</w:t>
      </w:r>
      <w:r>
        <w:rPr>
          <w:rStyle w:val="16"/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 w:color="auto" w:fill="FFFFFF"/>
        </w:rPr>
        <w:t>023-47521221</w:t>
      </w:r>
    </w:p>
    <w:sectPr>
      <w:footerReference r:id="rId3" w:type="default"/>
      <w:footerReference r:id="rId4" w:type="even"/>
      <w:pgSz w:w="11906" w:h="16838"/>
      <w:pgMar w:top="1587" w:right="1474" w:bottom="147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5FB01"/>
    <w:multiLevelType w:val="singleLevel"/>
    <w:tmpl w:val="BE15FB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018CFE"/>
    <w:multiLevelType w:val="singleLevel"/>
    <w:tmpl w:val="BF018C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C43F0"/>
    <w:multiLevelType w:val="singleLevel"/>
    <w:tmpl w:val="C7DC43F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092FFC"/>
    <w:multiLevelType w:val="singleLevel"/>
    <w:tmpl w:val="FC092FF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70F8B3D"/>
    <w:multiLevelType w:val="singleLevel"/>
    <w:tmpl w:val="170F8B3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6AF54E0"/>
    <w:multiLevelType w:val="singleLevel"/>
    <w:tmpl w:val="36AF54E0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6BB1AE55"/>
    <w:multiLevelType w:val="singleLevel"/>
    <w:tmpl w:val="6BB1AE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FC6D37E"/>
    <w:multiLevelType w:val="singleLevel"/>
    <w:tmpl w:val="7FC6D3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WUyOWUxY2VmYWQ0NmI5NTQ2OWZkN2E2MmM0NWMifQ=="/>
  </w:docVars>
  <w:rsids>
    <w:rsidRoot w:val="00607E12"/>
    <w:rsid w:val="0000051E"/>
    <w:rsid w:val="00001D33"/>
    <w:rsid w:val="000028C9"/>
    <w:rsid w:val="000155FC"/>
    <w:rsid w:val="000175BF"/>
    <w:rsid w:val="0001772A"/>
    <w:rsid w:val="00021540"/>
    <w:rsid w:val="00026535"/>
    <w:rsid w:val="00027CBA"/>
    <w:rsid w:val="00030BD4"/>
    <w:rsid w:val="0003485A"/>
    <w:rsid w:val="00034F55"/>
    <w:rsid w:val="000420EA"/>
    <w:rsid w:val="000427E2"/>
    <w:rsid w:val="00043D2E"/>
    <w:rsid w:val="00047C1B"/>
    <w:rsid w:val="00053EE9"/>
    <w:rsid w:val="00054D43"/>
    <w:rsid w:val="00054DCF"/>
    <w:rsid w:val="00054EB7"/>
    <w:rsid w:val="0005574C"/>
    <w:rsid w:val="0006070C"/>
    <w:rsid w:val="000639CF"/>
    <w:rsid w:val="00065200"/>
    <w:rsid w:val="00067A09"/>
    <w:rsid w:val="00073F65"/>
    <w:rsid w:val="000842FF"/>
    <w:rsid w:val="000A2CFA"/>
    <w:rsid w:val="000B27F1"/>
    <w:rsid w:val="000B3E51"/>
    <w:rsid w:val="000C15A3"/>
    <w:rsid w:val="000C7FE9"/>
    <w:rsid w:val="000D5121"/>
    <w:rsid w:val="000E0FCA"/>
    <w:rsid w:val="000E44AE"/>
    <w:rsid w:val="000E45ED"/>
    <w:rsid w:val="00100BE4"/>
    <w:rsid w:val="00102024"/>
    <w:rsid w:val="0011013E"/>
    <w:rsid w:val="0011190A"/>
    <w:rsid w:val="001136EF"/>
    <w:rsid w:val="00120138"/>
    <w:rsid w:val="00120AC5"/>
    <w:rsid w:val="001225CF"/>
    <w:rsid w:val="00122802"/>
    <w:rsid w:val="00122A47"/>
    <w:rsid w:val="00130AB7"/>
    <w:rsid w:val="001330DE"/>
    <w:rsid w:val="00134BAE"/>
    <w:rsid w:val="00141657"/>
    <w:rsid w:val="00141E8D"/>
    <w:rsid w:val="00146457"/>
    <w:rsid w:val="00147151"/>
    <w:rsid w:val="001570CA"/>
    <w:rsid w:val="001600A8"/>
    <w:rsid w:val="0016440F"/>
    <w:rsid w:val="00167113"/>
    <w:rsid w:val="00170AB6"/>
    <w:rsid w:val="001733C6"/>
    <w:rsid w:val="001760D0"/>
    <w:rsid w:val="00176E9E"/>
    <w:rsid w:val="00177282"/>
    <w:rsid w:val="0017754D"/>
    <w:rsid w:val="00177DDE"/>
    <w:rsid w:val="0018055E"/>
    <w:rsid w:val="0018417C"/>
    <w:rsid w:val="00186D29"/>
    <w:rsid w:val="00191922"/>
    <w:rsid w:val="00196B3B"/>
    <w:rsid w:val="001B4EBF"/>
    <w:rsid w:val="001D1F56"/>
    <w:rsid w:val="001D2188"/>
    <w:rsid w:val="001D2D97"/>
    <w:rsid w:val="001D39FC"/>
    <w:rsid w:val="001D469D"/>
    <w:rsid w:val="001D53A5"/>
    <w:rsid w:val="001E4338"/>
    <w:rsid w:val="001F35D7"/>
    <w:rsid w:val="001F6342"/>
    <w:rsid w:val="001F69D5"/>
    <w:rsid w:val="00203926"/>
    <w:rsid w:val="00206DF8"/>
    <w:rsid w:val="002074F7"/>
    <w:rsid w:val="002101FA"/>
    <w:rsid w:val="00213778"/>
    <w:rsid w:val="002148AC"/>
    <w:rsid w:val="00222B01"/>
    <w:rsid w:val="002247FE"/>
    <w:rsid w:val="00224B1E"/>
    <w:rsid w:val="00242193"/>
    <w:rsid w:val="00251D58"/>
    <w:rsid w:val="00252306"/>
    <w:rsid w:val="00255B14"/>
    <w:rsid w:val="00262C07"/>
    <w:rsid w:val="00271994"/>
    <w:rsid w:val="002726B1"/>
    <w:rsid w:val="00280812"/>
    <w:rsid w:val="002817B6"/>
    <w:rsid w:val="00283F54"/>
    <w:rsid w:val="00285CEF"/>
    <w:rsid w:val="00290EE3"/>
    <w:rsid w:val="002970E2"/>
    <w:rsid w:val="002A64DE"/>
    <w:rsid w:val="002B53DA"/>
    <w:rsid w:val="002B6DD1"/>
    <w:rsid w:val="002C1EC9"/>
    <w:rsid w:val="002C3116"/>
    <w:rsid w:val="002C7F37"/>
    <w:rsid w:val="002D0665"/>
    <w:rsid w:val="002D284A"/>
    <w:rsid w:val="002D60ED"/>
    <w:rsid w:val="002E2E5B"/>
    <w:rsid w:val="002F0CF5"/>
    <w:rsid w:val="002F5ADD"/>
    <w:rsid w:val="00302486"/>
    <w:rsid w:val="00314CB4"/>
    <w:rsid w:val="003178A1"/>
    <w:rsid w:val="00317958"/>
    <w:rsid w:val="003202F9"/>
    <w:rsid w:val="0032073C"/>
    <w:rsid w:val="00322ADF"/>
    <w:rsid w:val="00324B31"/>
    <w:rsid w:val="0033105A"/>
    <w:rsid w:val="00334EB0"/>
    <w:rsid w:val="0034207B"/>
    <w:rsid w:val="00344BF5"/>
    <w:rsid w:val="003450C0"/>
    <w:rsid w:val="00346494"/>
    <w:rsid w:val="00351DAC"/>
    <w:rsid w:val="00354334"/>
    <w:rsid w:val="00355F37"/>
    <w:rsid w:val="00362BC8"/>
    <w:rsid w:val="00363DA8"/>
    <w:rsid w:val="0036500E"/>
    <w:rsid w:val="00371DF3"/>
    <w:rsid w:val="0038006A"/>
    <w:rsid w:val="00391856"/>
    <w:rsid w:val="003961FF"/>
    <w:rsid w:val="00397B03"/>
    <w:rsid w:val="003B21E3"/>
    <w:rsid w:val="003B27FF"/>
    <w:rsid w:val="003B742A"/>
    <w:rsid w:val="003C12FB"/>
    <w:rsid w:val="003C40D4"/>
    <w:rsid w:val="003D081C"/>
    <w:rsid w:val="003D0BFF"/>
    <w:rsid w:val="003D6A6B"/>
    <w:rsid w:val="003F481B"/>
    <w:rsid w:val="003F48D1"/>
    <w:rsid w:val="00401C53"/>
    <w:rsid w:val="00404D9E"/>
    <w:rsid w:val="004135EA"/>
    <w:rsid w:val="00421B19"/>
    <w:rsid w:val="00422B0B"/>
    <w:rsid w:val="00422E47"/>
    <w:rsid w:val="00423211"/>
    <w:rsid w:val="004245F7"/>
    <w:rsid w:val="00426CE4"/>
    <w:rsid w:val="00426FEA"/>
    <w:rsid w:val="00431925"/>
    <w:rsid w:val="00432F81"/>
    <w:rsid w:val="00435247"/>
    <w:rsid w:val="004376FF"/>
    <w:rsid w:val="00441F50"/>
    <w:rsid w:val="004420F5"/>
    <w:rsid w:val="00446207"/>
    <w:rsid w:val="00460B50"/>
    <w:rsid w:val="00462A1B"/>
    <w:rsid w:val="0047102A"/>
    <w:rsid w:val="004767A0"/>
    <w:rsid w:val="00480634"/>
    <w:rsid w:val="00480DBB"/>
    <w:rsid w:val="0048149F"/>
    <w:rsid w:val="00490BD7"/>
    <w:rsid w:val="00492F86"/>
    <w:rsid w:val="00494936"/>
    <w:rsid w:val="004950DE"/>
    <w:rsid w:val="00495471"/>
    <w:rsid w:val="004A6381"/>
    <w:rsid w:val="004A7255"/>
    <w:rsid w:val="004B18A6"/>
    <w:rsid w:val="004B71FD"/>
    <w:rsid w:val="004B7C9D"/>
    <w:rsid w:val="004C041C"/>
    <w:rsid w:val="004C0428"/>
    <w:rsid w:val="004C1E46"/>
    <w:rsid w:val="004C2BBC"/>
    <w:rsid w:val="004D124F"/>
    <w:rsid w:val="004D20FC"/>
    <w:rsid w:val="004E451B"/>
    <w:rsid w:val="004E758F"/>
    <w:rsid w:val="004F0548"/>
    <w:rsid w:val="004F0AE7"/>
    <w:rsid w:val="004F4BAB"/>
    <w:rsid w:val="004F5255"/>
    <w:rsid w:val="00501E64"/>
    <w:rsid w:val="0050428A"/>
    <w:rsid w:val="0050454F"/>
    <w:rsid w:val="00505D0E"/>
    <w:rsid w:val="00533746"/>
    <w:rsid w:val="00546918"/>
    <w:rsid w:val="005507A2"/>
    <w:rsid w:val="00561338"/>
    <w:rsid w:val="00561975"/>
    <w:rsid w:val="00565117"/>
    <w:rsid w:val="0056679B"/>
    <w:rsid w:val="00573EC4"/>
    <w:rsid w:val="00583859"/>
    <w:rsid w:val="005901AA"/>
    <w:rsid w:val="005911E1"/>
    <w:rsid w:val="005A3116"/>
    <w:rsid w:val="005A5CCA"/>
    <w:rsid w:val="005A5FCF"/>
    <w:rsid w:val="005B100F"/>
    <w:rsid w:val="005B2D5D"/>
    <w:rsid w:val="005C38B2"/>
    <w:rsid w:val="005D16FF"/>
    <w:rsid w:val="005D2489"/>
    <w:rsid w:val="005D4003"/>
    <w:rsid w:val="005D4080"/>
    <w:rsid w:val="005D470C"/>
    <w:rsid w:val="005E1109"/>
    <w:rsid w:val="005E6EE3"/>
    <w:rsid w:val="005F0FF8"/>
    <w:rsid w:val="005F757D"/>
    <w:rsid w:val="00600C8F"/>
    <w:rsid w:val="00603082"/>
    <w:rsid w:val="00607E12"/>
    <w:rsid w:val="00611CA5"/>
    <w:rsid w:val="00620233"/>
    <w:rsid w:val="0062633A"/>
    <w:rsid w:val="00626848"/>
    <w:rsid w:val="0063222A"/>
    <w:rsid w:val="0063307E"/>
    <w:rsid w:val="00642C2A"/>
    <w:rsid w:val="006437B2"/>
    <w:rsid w:val="00654782"/>
    <w:rsid w:val="00664E32"/>
    <w:rsid w:val="0067039B"/>
    <w:rsid w:val="0068775B"/>
    <w:rsid w:val="00691CE0"/>
    <w:rsid w:val="00694365"/>
    <w:rsid w:val="006A2A65"/>
    <w:rsid w:val="006A566C"/>
    <w:rsid w:val="006A61DF"/>
    <w:rsid w:val="006B5DD7"/>
    <w:rsid w:val="006C1B21"/>
    <w:rsid w:val="006D014A"/>
    <w:rsid w:val="006D5786"/>
    <w:rsid w:val="006D6F59"/>
    <w:rsid w:val="006E1572"/>
    <w:rsid w:val="006E173D"/>
    <w:rsid w:val="006E538A"/>
    <w:rsid w:val="006F0EDC"/>
    <w:rsid w:val="006F3611"/>
    <w:rsid w:val="00701258"/>
    <w:rsid w:val="007036CD"/>
    <w:rsid w:val="00705A2B"/>
    <w:rsid w:val="00716862"/>
    <w:rsid w:val="007254E0"/>
    <w:rsid w:val="007278AE"/>
    <w:rsid w:val="00730852"/>
    <w:rsid w:val="00735715"/>
    <w:rsid w:val="00737BE2"/>
    <w:rsid w:val="00744FBD"/>
    <w:rsid w:val="007450D8"/>
    <w:rsid w:val="00755DA9"/>
    <w:rsid w:val="00755FDA"/>
    <w:rsid w:val="00757640"/>
    <w:rsid w:val="00761826"/>
    <w:rsid w:val="007654CC"/>
    <w:rsid w:val="00767D9E"/>
    <w:rsid w:val="00777274"/>
    <w:rsid w:val="00777FB0"/>
    <w:rsid w:val="0078049C"/>
    <w:rsid w:val="00784541"/>
    <w:rsid w:val="007874D6"/>
    <w:rsid w:val="007A3314"/>
    <w:rsid w:val="007A48F4"/>
    <w:rsid w:val="007A4C8D"/>
    <w:rsid w:val="007B0EC6"/>
    <w:rsid w:val="007B2F96"/>
    <w:rsid w:val="007C1250"/>
    <w:rsid w:val="007D00FC"/>
    <w:rsid w:val="007D0966"/>
    <w:rsid w:val="007D20F3"/>
    <w:rsid w:val="007D4338"/>
    <w:rsid w:val="007D6BFC"/>
    <w:rsid w:val="007D6CD1"/>
    <w:rsid w:val="007E2E16"/>
    <w:rsid w:val="007E3BD8"/>
    <w:rsid w:val="007E57F2"/>
    <w:rsid w:val="007E653A"/>
    <w:rsid w:val="007F3519"/>
    <w:rsid w:val="0080668B"/>
    <w:rsid w:val="0081318A"/>
    <w:rsid w:val="00814C3C"/>
    <w:rsid w:val="00817D1B"/>
    <w:rsid w:val="0082495C"/>
    <w:rsid w:val="0082609A"/>
    <w:rsid w:val="0083632B"/>
    <w:rsid w:val="00841059"/>
    <w:rsid w:val="00841718"/>
    <w:rsid w:val="00851C0B"/>
    <w:rsid w:val="0085432D"/>
    <w:rsid w:val="00855AB4"/>
    <w:rsid w:val="008561F1"/>
    <w:rsid w:val="0086134B"/>
    <w:rsid w:val="00864275"/>
    <w:rsid w:val="00872593"/>
    <w:rsid w:val="008846E9"/>
    <w:rsid w:val="00884DD1"/>
    <w:rsid w:val="00890399"/>
    <w:rsid w:val="00895F15"/>
    <w:rsid w:val="008A0636"/>
    <w:rsid w:val="008A2A01"/>
    <w:rsid w:val="008A38D6"/>
    <w:rsid w:val="008A3D1E"/>
    <w:rsid w:val="008A43C6"/>
    <w:rsid w:val="008A49F0"/>
    <w:rsid w:val="008B7D00"/>
    <w:rsid w:val="008C2879"/>
    <w:rsid w:val="008C6EB5"/>
    <w:rsid w:val="008D2EB9"/>
    <w:rsid w:val="008D41BD"/>
    <w:rsid w:val="008D4D00"/>
    <w:rsid w:val="008E7C26"/>
    <w:rsid w:val="008F2607"/>
    <w:rsid w:val="008F3774"/>
    <w:rsid w:val="0090051E"/>
    <w:rsid w:val="009061F1"/>
    <w:rsid w:val="00910307"/>
    <w:rsid w:val="0091131C"/>
    <w:rsid w:val="00911FA3"/>
    <w:rsid w:val="00917F50"/>
    <w:rsid w:val="0092046E"/>
    <w:rsid w:val="00926B68"/>
    <w:rsid w:val="009326D4"/>
    <w:rsid w:val="00942960"/>
    <w:rsid w:val="00952960"/>
    <w:rsid w:val="009571BF"/>
    <w:rsid w:val="0096181A"/>
    <w:rsid w:val="00970F5C"/>
    <w:rsid w:val="00980C64"/>
    <w:rsid w:val="00981617"/>
    <w:rsid w:val="00984F70"/>
    <w:rsid w:val="00995B9A"/>
    <w:rsid w:val="00995F22"/>
    <w:rsid w:val="00996706"/>
    <w:rsid w:val="0099789A"/>
    <w:rsid w:val="009A01A1"/>
    <w:rsid w:val="009A0F73"/>
    <w:rsid w:val="009A38B0"/>
    <w:rsid w:val="009A7B10"/>
    <w:rsid w:val="009B186D"/>
    <w:rsid w:val="009B46C1"/>
    <w:rsid w:val="009C7673"/>
    <w:rsid w:val="009D21EA"/>
    <w:rsid w:val="009E0942"/>
    <w:rsid w:val="009E153F"/>
    <w:rsid w:val="009F0A76"/>
    <w:rsid w:val="009F1C2B"/>
    <w:rsid w:val="009F42A2"/>
    <w:rsid w:val="009F782A"/>
    <w:rsid w:val="009F7F6C"/>
    <w:rsid w:val="00A04BBF"/>
    <w:rsid w:val="00A05764"/>
    <w:rsid w:val="00A05FE8"/>
    <w:rsid w:val="00A1783A"/>
    <w:rsid w:val="00A259D6"/>
    <w:rsid w:val="00A268FC"/>
    <w:rsid w:val="00A3654D"/>
    <w:rsid w:val="00A44FA7"/>
    <w:rsid w:val="00A4608B"/>
    <w:rsid w:val="00A55460"/>
    <w:rsid w:val="00A55D58"/>
    <w:rsid w:val="00A5629A"/>
    <w:rsid w:val="00A5637A"/>
    <w:rsid w:val="00A629AC"/>
    <w:rsid w:val="00A66921"/>
    <w:rsid w:val="00A67C22"/>
    <w:rsid w:val="00A722FB"/>
    <w:rsid w:val="00A73342"/>
    <w:rsid w:val="00A75E77"/>
    <w:rsid w:val="00A7769A"/>
    <w:rsid w:val="00A95599"/>
    <w:rsid w:val="00A96D56"/>
    <w:rsid w:val="00A974C1"/>
    <w:rsid w:val="00AA46CF"/>
    <w:rsid w:val="00AA5AB0"/>
    <w:rsid w:val="00AB0D59"/>
    <w:rsid w:val="00AB323C"/>
    <w:rsid w:val="00AB3AAE"/>
    <w:rsid w:val="00AB75A6"/>
    <w:rsid w:val="00AC1FF6"/>
    <w:rsid w:val="00AC5A32"/>
    <w:rsid w:val="00AC6807"/>
    <w:rsid w:val="00AD31B0"/>
    <w:rsid w:val="00AD43B9"/>
    <w:rsid w:val="00AD4486"/>
    <w:rsid w:val="00AD65C3"/>
    <w:rsid w:val="00AD7D0A"/>
    <w:rsid w:val="00AE2416"/>
    <w:rsid w:val="00AE2C0B"/>
    <w:rsid w:val="00AE76C2"/>
    <w:rsid w:val="00AF0307"/>
    <w:rsid w:val="00B0093A"/>
    <w:rsid w:val="00B057E0"/>
    <w:rsid w:val="00B07C2C"/>
    <w:rsid w:val="00B12E00"/>
    <w:rsid w:val="00B14F8C"/>
    <w:rsid w:val="00B15181"/>
    <w:rsid w:val="00B211A3"/>
    <w:rsid w:val="00B23783"/>
    <w:rsid w:val="00B316BA"/>
    <w:rsid w:val="00B41BE8"/>
    <w:rsid w:val="00B42D0C"/>
    <w:rsid w:val="00B463CF"/>
    <w:rsid w:val="00B54FA4"/>
    <w:rsid w:val="00B60D03"/>
    <w:rsid w:val="00B67091"/>
    <w:rsid w:val="00B81DAC"/>
    <w:rsid w:val="00B822EA"/>
    <w:rsid w:val="00B922A2"/>
    <w:rsid w:val="00B93851"/>
    <w:rsid w:val="00B94043"/>
    <w:rsid w:val="00B96B08"/>
    <w:rsid w:val="00BA33C7"/>
    <w:rsid w:val="00BA43B4"/>
    <w:rsid w:val="00BA43B8"/>
    <w:rsid w:val="00BA5FD9"/>
    <w:rsid w:val="00BB36E3"/>
    <w:rsid w:val="00BB4092"/>
    <w:rsid w:val="00BB771B"/>
    <w:rsid w:val="00BC4C57"/>
    <w:rsid w:val="00BC6593"/>
    <w:rsid w:val="00BC6C2F"/>
    <w:rsid w:val="00BD0E0D"/>
    <w:rsid w:val="00BD4AE7"/>
    <w:rsid w:val="00BD5A36"/>
    <w:rsid w:val="00BE14B9"/>
    <w:rsid w:val="00BE1EF6"/>
    <w:rsid w:val="00BE3720"/>
    <w:rsid w:val="00BE4944"/>
    <w:rsid w:val="00BE6245"/>
    <w:rsid w:val="00BF2DDD"/>
    <w:rsid w:val="00BF4EDC"/>
    <w:rsid w:val="00BF6572"/>
    <w:rsid w:val="00C0316B"/>
    <w:rsid w:val="00C10901"/>
    <w:rsid w:val="00C11001"/>
    <w:rsid w:val="00C20076"/>
    <w:rsid w:val="00C23D12"/>
    <w:rsid w:val="00C31EF7"/>
    <w:rsid w:val="00C3206D"/>
    <w:rsid w:val="00C33307"/>
    <w:rsid w:val="00C3371D"/>
    <w:rsid w:val="00C41417"/>
    <w:rsid w:val="00C4219E"/>
    <w:rsid w:val="00C4238E"/>
    <w:rsid w:val="00C4258A"/>
    <w:rsid w:val="00C45DE6"/>
    <w:rsid w:val="00C468C6"/>
    <w:rsid w:val="00C61402"/>
    <w:rsid w:val="00C66C12"/>
    <w:rsid w:val="00C66C81"/>
    <w:rsid w:val="00C7551A"/>
    <w:rsid w:val="00C811D2"/>
    <w:rsid w:val="00C84B8C"/>
    <w:rsid w:val="00C86109"/>
    <w:rsid w:val="00C93F35"/>
    <w:rsid w:val="00C95F82"/>
    <w:rsid w:val="00C97EAF"/>
    <w:rsid w:val="00CA01ED"/>
    <w:rsid w:val="00CA072F"/>
    <w:rsid w:val="00CB6C8A"/>
    <w:rsid w:val="00CB71B8"/>
    <w:rsid w:val="00CC29D1"/>
    <w:rsid w:val="00CC6E15"/>
    <w:rsid w:val="00CD2BD0"/>
    <w:rsid w:val="00CD341A"/>
    <w:rsid w:val="00CD7B97"/>
    <w:rsid w:val="00CE4584"/>
    <w:rsid w:val="00CF2F76"/>
    <w:rsid w:val="00CF3987"/>
    <w:rsid w:val="00CF487D"/>
    <w:rsid w:val="00D01565"/>
    <w:rsid w:val="00D02C02"/>
    <w:rsid w:val="00D03EFD"/>
    <w:rsid w:val="00D04855"/>
    <w:rsid w:val="00D06AE0"/>
    <w:rsid w:val="00D1341C"/>
    <w:rsid w:val="00D1398B"/>
    <w:rsid w:val="00D13DA7"/>
    <w:rsid w:val="00D162A8"/>
    <w:rsid w:val="00D20046"/>
    <w:rsid w:val="00D21A4A"/>
    <w:rsid w:val="00D3017F"/>
    <w:rsid w:val="00D311F3"/>
    <w:rsid w:val="00D3507F"/>
    <w:rsid w:val="00D35A65"/>
    <w:rsid w:val="00D363D0"/>
    <w:rsid w:val="00D36CE6"/>
    <w:rsid w:val="00D41FA5"/>
    <w:rsid w:val="00D4306E"/>
    <w:rsid w:val="00D44633"/>
    <w:rsid w:val="00D4526D"/>
    <w:rsid w:val="00D479F4"/>
    <w:rsid w:val="00D53260"/>
    <w:rsid w:val="00D556D1"/>
    <w:rsid w:val="00D6004F"/>
    <w:rsid w:val="00D669F9"/>
    <w:rsid w:val="00D706B6"/>
    <w:rsid w:val="00D811F9"/>
    <w:rsid w:val="00DA0593"/>
    <w:rsid w:val="00DA3692"/>
    <w:rsid w:val="00DB79E0"/>
    <w:rsid w:val="00DD14B2"/>
    <w:rsid w:val="00DD6BBC"/>
    <w:rsid w:val="00DE0EDD"/>
    <w:rsid w:val="00DE3005"/>
    <w:rsid w:val="00DE735E"/>
    <w:rsid w:val="00DF32B3"/>
    <w:rsid w:val="00DF3B9C"/>
    <w:rsid w:val="00DF5874"/>
    <w:rsid w:val="00DF5A8E"/>
    <w:rsid w:val="00E115ED"/>
    <w:rsid w:val="00E20FA3"/>
    <w:rsid w:val="00E24893"/>
    <w:rsid w:val="00E46647"/>
    <w:rsid w:val="00E4699A"/>
    <w:rsid w:val="00E5411A"/>
    <w:rsid w:val="00E6183C"/>
    <w:rsid w:val="00E64255"/>
    <w:rsid w:val="00E6527B"/>
    <w:rsid w:val="00E70C3D"/>
    <w:rsid w:val="00E71DE9"/>
    <w:rsid w:val="00E735E7"/>
    <w:rsid w:val="00E77357"/>
    <w:rsid w:val="00E805E8"/>
    <w:rsid w:val="00E8343D"/>
    <w:rsid w:val="00E9151E"/>
    <w:rsid w:val="00E93825"/>
    <w:rsid w:val="00E950F2"/>
    <w:rsid w:val="00E97BF1"/>
    <w:rsid w:val="00EA2F62"/>
    <w:rsid w:val="00EA5AF8"/>
    <w:rsid w:val="00EB25A6"/>
    <w:rsid w:val="00EB5255"/>
    <w:rsid w:val="00EC12FF"/>
    <w:rsid w:val="00EC5F49"/>
    <w:rsid w:val="00ED45DD"/>
    <w:rsid w:val="00ED5569"/>
    <w:rsid w:val="00EE3026"/>
    <w:rsid w:val="00EE3420"/>
    <w:rsid w:val="00EE7078"/>
    <w:rsid w:val="00EF5946"/>
    <w:rsid w:val="00EF72EA"/>
    <w:rsid w:val="00F04C79"/>
    <w:rsid w:val="00F11494"/>
    <w:rsid w:val="00F1390F"/>
    <w:rsid w:val="00F167C8"/>
    <w:rsid w:val="00F169A5"/>
    <w:rsid w:val="00F21E28"/>
    <w:rsid w:val="00F258A9"/>
    <w:rsid w:val="00F27C63"/>
    <w:rsid w:val="00F328C2"/>
    <w:rsid w:val="00F41CB0"/>
    <w:rsid w:val="00F424BF"/>
    <w:rsid w:val="00F43A19"/>
    <w:rsid w:val="00F44036"/>
    <w:rsid w:val="00F50C39"/>
    <w:rsid w:val="00F6171D"/>
    <w:rsid w:val="00F62963"/>
    <w:rsid w:val="00F62E68"/>
    <w:rsid w:val="00F7292B"/>
    <w:rsid w:val="00F72D44"/>
    <w:rsid w:val="00F8320C"/>
    <w:rsid w:val="00F86344"/>
    <w:rsid w:val="00F969D6"/>
    <w:rsid w:val="00F96D6E"/>
    <w:rsid w:val="00F96E01"/>
    <w:rsid w:val="00FA0345"/>
    <w:rsid w:val="00FB0A36"/>
    <w:rsid w:val="00FB0D1C"/>
    <w:rsid w:val="00FB2583"/>
    <w:rsid w:val="00FB5BA5"/>
    <w:rsid w:val="00FC4290"/>
    <w:rsid w:val="00FD5C48"/>
    <w:rsid w:val="00FD6A34"/>
    <w:rsid w:val="00FE24BC"/>
    <w:rsid w:val="00FE3A24"/>
    <w:rsid w:val="00FF02D5"/>
    <w:rsid w:val="012E5E55"/>
    <w:rsid w:val="013155A4"/>
    <w:rsid w:val="014E4076"/>
    <w:rsid w:val="01626E33"/>
    <w:rsid w:val="017A2F9F"/>
    <w:rsid w:val="01B67107"/>
    <w:rsid w:val="01D47FC5"/>
    <w:rsid w:val="02022436"/>
    <w:rsid w:val="020F6D27"/>
    <w:rsid w:val="02217C74"/>
    <w:rsid w:val="026359B2"/>
    <w:rsid w:val="026B7642"/>
    <w:rsid w:val="02AC542A"/>
    <w:rsid w:val="038E49EB"/>
    <w:rsid w:val="03A45696"/>
    <w:rsid w:val="03B74B35"/>
    <w:rsid w:val="03D862B6"/>
    <w:rsid w:val="03FB4D0B"/>
    <w:rsid w:val="04082AD7"/>
    <w:rsid w:val="045B484E"/>
    <w:rsid w:val="047841EE"/>
    <w:rsid w:val="04A56073"/>
    <w:rsid w:val="04AD2B7D"/>
    <w:rsid w:val="04E841EF"/>
    <w:rsid w:val="05081AD1"/>
    <w:rsid w:val="052E6699"/>
    <w:rsid w:val="057728DC"/>
    <w:rsid w:val="05912D04"/>
    <w:rsid w:val="05C1448E"/>
    <w:rsid w:val="05C1761D"/>
    <w:rsid w:val="05CD4722"/>
    <w:rsid w:val="05D90398"/>
    <w:rsid w:val="05E52FAD"/>
    <w:rsid w:val="060A24AD"/>
    <w:rsid w:val="066D0C4B"/>
    <w:rsid w:val="06E90E2D"/>
    <w:rsid w:val="07640956"/>
    <w:rsid w:val="07A34544"/>
    <w:rsid w:val="08024FA9"/>
    <w:rsid w:val="08190B33"/>
    <w:rsid w:val="08C10882"/>
    <w:rsid w:val="08C7668D"/>
    <w:rsid w:val="08CC205B"/>
    <w:rsid w:val="08DB1609"/>
    <w:rsid w:val="091750AC"/>
    <w:rsid w:val="09327D67"/>
    <w:rsid w:val="097859D4"/>
    <w:rsid w:val="09823D8A"/>
    <w:rsid w:val="098B5CFE"/>
    <w:rsid w:val="09A84B40"/>
    <w:rsid w:val="09C9617E"/>
    <w:rsid w:val="0A280DE4"/>
    <w:rsid w:val="0A2D21B2"/>
    <w:rsid w:val="0A726EFC"/>
    <w:rsid w:val="0A751EDD"/>
    <w:rsid w:val="0AB177F2"/>
    <w:rsid w:val="0AB319EF"/>
    <w:rsid w:val="0ABA1A7A"/>
    <w:rsid w:val="0AE5230E"/>
    <w:rsid w:val="0AEC3562"/>
    <w:rsid w:val="0B447CC4"/>
    <w:rsid w:val="0B5C19F8"/>
    <w:rsid w:val="0B6B4922"/>
    <w:rsid w:val="0B840250"/>
    <w:rsid w:val="0BBB1C03"/>
    <w:rsid w:val="0BBD1CFB"/>
    <w:rsid w:val="0BC63C92"/>
    <w:rsid w:val="0BCF17F7"/>
    <w:rsid w:val="0C1A7343"/>
    <w:rsid w:val="0C3C56A3"/>
    <w:rsid w:val="0C3E1C6B"/>
    <w:rsid w:val="0C8D0553"/>
    <w:rsid w:val="0C994F52"/>
    <w:rsid w:val="0CB6160D"/>
    <w:rsid w:val="0CD8398F"/>
    <w:rsid w:val="0D4A231C"/>
    <w:rsid w:val="0DBA0DC1"/>
    <w:rsid w:val="0DCE605A"/>
    <w:rsid w:val="0E2C4A88"/>
    <w:rsid w:val="0E5158C5"/>
    <w:rsid w:val="0E855450"/>
    <w:rsid w:val="0EA66A76"/>
    <w:rsid w:val="0EAD6E68"/>
    <w:rsid w:val="0EB15612"/>
    <w:rsid w:val="0EB92499"/>
    <w:rsid w:val="0ECF19CC"/>
    <w:rsid w:val="0ECF621B"/>
    <w:rsid w:val="0EFB5876"/>
    <w:rsid w:val="0F107EE3"/>
    <w:rsid w:val="0F3B4594"/>
    <w:rsid w:val="0F4603E9"/>
    <w:rsid w:val="0F5D6174"/>
    <w:rsid w:val="0F7F4595"/>
    <w:rsid w:val="0F8109EA"/>
    <w:rsid w:val="0F931176"/>
    <w:rsid w:val="0FC0132B"/>
    <w:rsid w:val="0FCF39BD"/>
    <w:rsid w:val="100A1A0C"/>
    <w:rsid w:val="1016071E"/>
    <w:rsid w:val="10325A41"/>
    <w:rsid w:val="103B08C5"/>
    <w:rsid w:val="10656E2F"/>
    <w:rsid w:val="107D6D99"/>
    <w:rsid w:val="1084224C"/>
    <w:rsid w:val="10DB232E"/>
    <w:rsid w:val="1113718A"/>
    <w:rsid w:val="114859F3"/>
    <w:rsid w:val="12554B29"/>
    <w:rsid w:val="127001C5"/>
    <w:rsid w:val="12AD3E7D"/>
    <w:rsid w:val="12C42FA0"/>
    <w:rsid w:val="12D35C61"/>
    <w:rsid w:val="12E0359D"/>
    <w:rsid w:val="12EA2F1A"/>
    <w:rsid w:val="130558D9"/>
    <w:rsid w:val="13424E21"/>
    <w:rsid w:val="137F545A"/>
    <w:rsid w:val="13801D6F"/>
    <w:rsid w:val="13841A7B"/>
    <w:rsid w:val="138B759A"/>
    <w:rsid w:val="13BD16BF"/>
    <w:rsid w:val="13DB32E7"/>
    <w:rsid w:val="13F46315"/>
    <w:rsid w:val="140D076E"/>
    <w:rsid w:val="140E2407"/>
    <w:rsid w:val="141F1F10"/>
    <w:rsid w:val="14611714"/>
    <w:rsid w:val="14CF05AD"/>
    <w:rsid w:val="14CF3275"/>
    <w:rsid w:val="14D01CF9"/>
    <w:rsid w:val="14E8356B"/>
    <w:rsid w:val="14EB3F48"/>
    <w:rsid w:val="14F31C4F"/>
    <w:rsid w:val="14FD41CB"/>
    <w:rsid w:val="15284D87"/>
    <w:rsid w:val="154725E3"/>
    <w:rsid w:val="15546C2C"/>
    <w:rsid w:val="156557F3"/>
    <w:rsid w:val="158240BB"/>
    <w:rsid w:val="160D5A33"/>
    <w:rsid w:val="164B77DE"/>
    <w:rsid w:val="164E5E0B"/>
    <w:rsid w:val="17167C82"/>
    <w:rsid w:val="17532A55"/>
    <w:rsid w:val="176355FF"/>
    <w:rsid w:val="1792704D"/>
    <w:rsid w:val="17932EDC"/>
    <w:rsid w:val="17A36DDB"/>
    <w:rsid w:val="17A532AB"/>
    <w:rsid w:val="17B86896"/>
    <w:rsid w:val="180B07AE"/>
    <w:rsid w:val="180B77E6"/>
    <w:rsid w:val="180C3847"/>
    <w:rsid w:val="181A2360"/>
    <w:rsid w:val="181F4708"/>
    <w:rsid w:val="18221462"/>
    <w:rsid w:val="184F1121"/>
    <w:rsid w:val="185B2A86"/>
    <w:rsid w:val="18B34914"/>
    <w:rsid w:val="18C66253"/>
    <w:rsid w:val="18CD5743"/>
    <w:rsid w:val="1910625E"/>
    <w:rsid w:val="197B50D2"/>
    <w:rsid w:val="19926875"/>
    <w:rsid w:val="1A297DDD"/>
    <w:rsid w:val="1A642D06"/>
    <w:rsid w:val="1A7919B9"/>
    <w:rsid w:val="1AF175F8"/>
    <w:rsid w:val="1B0E67CD"/>
    <w:rsid w:val="1B1350D9"/>
    <w:rsid w:val="1B391A9C"/>
    <w:rsid w:val="1B9A7C0E"/>
    <w:rsid w:val="1B9B203B"/>
    <w:rsid w:val="1BFB03B6"/>
    <w:rsid w:val="1BFD1CC9"/>
    <w:rsid w:val="1C96385A"/>
    <w:rsid w:val="1CDC3027"/>
    <w:rsid w:val="1CE92F5C"/>
    <w:rsid w:val="1CF10155"/>
    <w:rsid w:val="1D437979"/>
    <w:rsid w:val="1D4708B1"/>
    <w:rsid w:val="1D656164"/>
    <w:rsid w:val="1E320A25"/>
    <w:rsid w:val="1E8900BD"/>
    <w:rsid w:val="1ECB269E"/>
    <w:rsid w:val="1EE66C3C"/>
    <w:rsid w:val="1EE90DBA"/>
    <w:rsid w:val="1EF96BEA"/>
    <w:rsid w:val="1F0F2A13"/>
    <w:rsid w:val="1F116510"/>
    <w:rsid w:val="1F1C3B7B"/>
    <w:rsid w:val="1F4D3AC2"/>
    <w:rsid w:val="200551AB"/>
    <w:rsid w:val="205932DE"/>
    <w:rsid w:val="208C6B12"/>
    <w:rsid w:val="20A03801"/>
    <w:rsid w:val="20BB45BF"/>
    <w:rsid w:val="20BC5FF2"/>
    <w:rsid w:val="21354AB4"/>
    <w:rsid w:val="216922DD"/>
    <w:rsid w:val="219D4F8D"/>
    <w:rsid w:val="21BE4C69"/>
    <w:rsid w:val="222807B1"/>
    <w:rsid w:val="22435D4E"/>
    <w:rsid w:val="2245419D"/>
    <w:rsid w:val="22FE317D"/>
    <w:rsid w:val="237704D4"/>
    <w:rsid w:val="23891077"/>
    <w:rsid w:val="23A1558C"/>
    <w:rsid w:val="23BE50B1"/>
    <w:rsid w:val="23EB66CA"/>
    <w:rsid w:val="2422161E"/>
    <w:rsid w:val="246E6851"/>
    <w:rsid w:val="24942E5E"/>
    <w:rsid w:val="24954F65"/>
    <w:rsid w:val="24C7511E"/>
    <w:rsid w:val="25572562"/>
    <w:rsid w:val="257F04AC"/>
    <w:rsid w:val="25E53B95"/>
    <w:rsid w:val="25EB17AB"/>
    <w:rsid w:val="25EC4968"/>
    <w:rsid w:val="25FF1317"/>
    <w:rsid w:val="26487E8F"/>
    <w:rsid w:val="264F4D47"/>
    <w:rsid w:val="266362EA"/>
    <w:rsid w:val="26791D53"/>
    <w:rsid w:val="268A5041"/>
    <w:rsid w:val="269A59A1"/>
    <w:rsid w:val="26D96305"/>
    <w:rsid w:val="26E96527"/>
    <w:rsid w:val="2705317A"/>
    <w:rsid w:val="27293F76"/>
    <w:rsid w:val="272F6449"/>
    <w:rsid w:val="273D1AD3"/>
    <w:rsid w:val="275642B6"/>
    <w:rsid w:val="275A34C6"/>
    <w:rsid w:val="2797346E"/>
    <w:rsid w:val="27984D8A"/>
    <w:rsid w:val="27985D9D"/>
    <w:rsid w:val="27CC625C"/>
    <w:rsid w:val="27EF3ECE"/>
    <w:rsid w:val="27FF1758"/>
    <w:rsid w:val="2801545F"/>
    <w:rsid w:val="28026E78"/>
    <w:rsid w:val="28406D20"/>
    <w:rsid w:val="285745A9"/>
    <w:rsid w:val="28604488"/>
    <w:rsid w:val="287301D2"/>
    <w:rsid w:val="287F60B2"/>
    <w:rsid w:val="28F33BD2"/>
    <w:rsid w:val="29131E97"/>
    <w:rsid w:val="293F321E"/>
    <w:rsid w:val="29696297"/>
    <w:rsid w:val="297011FE"/>
    <w:rsid w:val="29763EBB"/>
    <w:rsid w:val="29F90436"/>
    <w:rsid w:val="29FF1B5A"/>
    <w:rsid w:val="2A254E63"/>
    <w:rsid w:val="2A275D31"/>
    <w:rsid w:val="2A36189D"/>
    <w:rsid w:val="2AE168E0"/>
    <w:rsid w:val="2B1C4F36"/>
    <w:rsid w:val="2B2F33CE"/>
    <w:rsid w:val="2B762790"/>
    <w:rsid w:val="2BAC2B14"/>
    <w:rsid w:val="2BC73FBA"/>
    <w:rsid w:val="2BEF7F55"/>
    <w:rsid w:val="2BFF60E5"/>
    <w:rsid w:val="2C0042E3"/>
    <w:rsid w:val="2C0D59AC"/>
    <w:rsid w:val="2C2D5D74"/>
    <w:rsid w:val="2C334F61"/>
    <w:rsid w:val="2C3D20DB"/>
    <w:rsid w:val="2C475FE3"/>
    <w:rsid w:val="2C71221F"/>
    <w:rsid w:val="2C715093"/>
    <w:rsid w:val="2CC232F9"/>
    <w:rsid w:val="2CF75D34"/>
    <w:rsid w:val="2DDB0952"/>
    <w:rsid w:val="2E0221C2"/>
    <w:rsid w:val="2E0742CA"/>
    <w:rsid w:val="2E0C46C8"/>
    <w:rsid w:val="2E2A738E"/>
    <w:rsid w:val="2E4A0CBE"/>
    <w:rsid w:val="2EAB46F5"/>
    <w:rsid w:val="2EB931C8"/>
    <w:rsid w:val="2EC6420A"/>
    <w:rsid w:val="2EF3059D"/>
    <w:rsid w:val="2F1031FD"/>
    <w:rsid w:val="2F1C3DF2"/>
    <w:rsid w:val="2F2C0A85"/>
    <w:rsid w:val="2F414FFF"/>
    <w:rsid w:val="2F8B61E7"/>
    <w:rsid w:val="2F8D5831"/>
    <w:rsid w:val="2FA6445E"/>
    <w:rsid w:val="2FAC25DB"/>
    <w:rsid w:val="2FAF3097"/>
    <w:rsid w:val="2FB617C0"/>
    <w:rsid w:val="300C6664"/>
    <w:rsid w:val="30450B4E"/>
    <w:rsid w:val="30465275"/>
    <w:rsid w:val="31061102"/>
    <w:rsid w:val="31A04CAD"/>
    <w:rsid w:val="31A70211"/>
    <w:rsid w:val="31AA504A"/>
    <w:rsid w:val="31B15053"/>
    <w:rsid w:val="320A79AF"/>
    <w:rsid w:val="3256082B"/>
    <w:rsid w:val="327D7E69"/>
    <w:rsid w:val="32826152"/>
    <w:rsid w:val="32EC51EE"/>
    <w:rsid w:val="33116010"/>
    <w:rsid w:val="331546C4"/>
    <w:rsid w:val="33656AA9"/>
    <w:rsid w:val="33782EB9"/>
    <w:rsid w:val="337C47C4"/>
    <w:rsid w:val="33A16094"/>
    <w:rsid w:val="33B0446E"/>
    <w:rsid w:val="33E6234B"/>
    <w:rsid w:val="33F80618"/>
    <w:rsid w:val="340E49EF"/>
    <w:rsid w:val="3449519A"/>
    <w:rsid w:val="3465554A"/>
    <w:rsid w:val="34983DE3"/>
    <w:rsid w:val="34A64D07"/>
    <w:rsid w:val="34B10AAC"/>
    <w:rsid w:val="34BF6C35"/>
    <w:rsid w:val="34F5635F"/>
    <w:rsid w:val="35444DAC"/>
    <w:rsid w:val="354811BC"/>
    <w:rsid w:val="35521A2B"/>
    <w:rsid w:val="355E472E"/>
    <w:rsid w:val="35887450"/>
    <w:rsid w:val="359E40E8"/>
    <w:rsid w:val="35C22B6B"/>
    <w:rsid w:val="35EA737B"/>
    <w:rsid w:val="36706ADF"/>
    <w:rsid w:val="36833C5C"/>
    <w:rsid w:val="36A129F2"/>
    <w:rsid w:val="36B3095D"/>
    <w:rsid w:val="36D22597"/>
    <w:rsid w:val="371719A6"/>
    <w:rsid w:val="371E35B2"/>
    <w:rsid w:val="37564D03"/>
    <w:rsid w:val="376143FD"/>
    <w:rsid w:val="376C68FE"/>
    <w:rsid w:val="37751EC2"/>
    <w:rsid w:val="37817F08"/>
    <w:rsid w:val="379F6CD3"/>
    <w:rsid w:val="37C77C1E"/>
    <w:rsid w:val="37E666B0"/>
    <w:rsid w:val="37FE7E9E"/>
    <w:rsid w:val="388010B8"/>
    <w:rsid w:val="38FA6DBA"/>
    <w:rsid w:val="390E5CB1"/>
    <w:rsid w:val="39474657"/>
    <w:rsid w:val="394E2214"/>
    <w:rsid w:val="399A1E48"/>
    <w:rsid w:val="39A10C32"/>
    <w:rsid w:val="39CC7911"/>
    <w:rsid w:val="39E44839"/>
    <w:rsid w:val="3A457B72"/>
    <w:rsid w:val="3A4A2286"/>
    <w:rsid w:val="3AA6726B"/>
    <w:rsid w:val="3AE82075"/>
    <w:rsid w:val="3B017FBE"/>
    <w:rsid w:val="3B0F4170"/>
    <w:rsid w:val="3B2E2848"/>
    <w:rsid w:val="3B3003F2"/>
    <w:rsid w:val="3B307A72"/>
    <w:rsid w:val="3B9335A4"/>
    <w:rsid w:val="3B992613"/>
    <w:rsid w:val="3BB24F73"/>
    <w:rsid w:val="3BCD490E"/>
    <w:rsid w:val="3BDB6726"/>
    <w:rsid w:val="3C056780"/>
    <w:rsid w:val="3C0B3B20"/>
    <w:rsid w:val="3C125C42"/>
    <w:rsid w:val="3C1315AB"/>
    <w:rsid w:val="3C1860E9"/>
    <w:rsid w:val="3C265FAB"/>
    <w:rsid w:val="3C45620B"/>
    <w:rsid w:val="3D2748D8"/>
    <w:rsid w:val="3D7312A1"/>
    <w:rsid w:val="3D8F2FFE"/>
    <w:rsid w:val="3D8F779B"/>
    <w:rsid w:val="3DB31849"/>
    <w:rsid w:val="3DD376D7"/>
    <w:rsid w:val="3E15702B"/>
    <w:rsid w:val="3E247857"/>
    <w:rsid w:val="3E3A3D5E"/>
    <w:rsid w:val="3E984240"/>
    <w:rsid w:val="3EAD34C3"/>
    <w:rsid w:val="3EBE7C37"/>
    <w:rsid w:val="3EEC3477"/>
    <w:rsid w:val="3F120426"/>
    <w:rsid w:val="3F1976B6"/>
    <w:rsid w:val="3F5E6431"/>
    <w:rsid w:val="3F8C0907"/>
    <w:rsid w:val="3F9B5E29"/>
    <w:rsid w:val="400454FD"/>
    <w:rsid w:val="40552C1F"/>
    <w:rsid w:val="4057229F"/>
    <w:rsid w:val="405F7DEE"/>
    <w:rsid w:val="40992FB0"/>
    <w:rsid w:val="40DB7824"/>
    <w:rsid w:val="410115DD"/>
    <w:rsid w:val="41893CEE"/>
    <w:rsid w:val="418A21AD"/>
    <w:rsid w:val="41A212A1"/>
    <w:rsid w:val="41EC42BB"/>
    <w:rsid w:val="42003BB9"/>
    <w:rsid w:val="4239228E"/>
    <w:rsid w:val="4246624C"/>
    <w:rsid w:val="428A1304"/>
    <w:rsid w:val="42E44C98"/>
    <w:rsid w:val="431B6113"/>
    <w:rsid w:val="438834DF"/>
    <w:rsid w:val="43A20A3C"/>
    <w:rsid w:val="43BB7AD9"/>
    <w:rsid w:val="440B4462"/>
    <w:rsid w:val="444C66C3"/>
    <w:rsid w:val="44630F9F"/>
    <w:rsid w:val="446A3603"/>
    <w:rsid w:val="44C257D5"/>
    <w:rsid w:val="458B573C"/>
    <w:rsid w:val="45C848F2"/>
    <w:rsid w:val="45CE60A3"/>
    <w:rsid w:val="45F36454"/>
    <w:rsid w:val="4614088C"/>
    <w:rsid w:val="461C57E1"/>
    <w:rsid w:val="464D2106"/>
    <w:rsid w:val="46572A53"/>
    <w:rsid w:val="465B2718"/>
    <w:rsid w:val="46651F6D"/>
    <w:rsid w:val="46BE763A"/>
    <w:rsid w:val="46C178CC"/>
    <w:rsid w:val="46F31024"/>
    <w:rsid w:val="46FD3AFE"/>
    <w:rsid w:val="471E0A34"/>
    <w:rsid w:val="4723739A"/>
    <w:rsid w:val="47250EF5"/>
    <w:rsid w:val="47740C02"/>
    <w:rsid w:val="479223B1"/>
    <w:rsid w:val="47C21415"/>
    <w:rsid w:val="48206AB3"/>
    <w:rsid w:val="4849652E"/>
    <w:rsid w:val="487415C1"/>
    <w:rsid w:val="48813383"/>
    <w:rsid w:val="48994869"/>
    <w:rsid w:val="489B6E47"/>
    <w:rsid w:val="48B91344"/>
    <w:rsid w:val="48C3403D"/>
    <w:rsid w:val="4901682D"/>
    <w:rsid w:val="491F1E3E"/>
    <w:rsid w:val="497E4D40"/>
    <w:rsid w:val="498C0EAD"/>
    <w:rsid w:val="498D6EB3"/>
    <w:rsid w:val="49A14844"/>
    <w:rsid w:val="4A38329E"/>
    <w:rsid w:val="4A786E7C"/>
    <w:rsid w:val="4A812037"/>
    <w:rsid w:val="4ABF0429"/>
    <w:rsid w:val="4AD16BE3"/>
    <w:rsid w:val="4B05514E"/>
    <w:rsid w:val="4B272E10"/>
    <w:rsid w:val="4B644064"/>
    <w:rsid w:val="4B7D224D"/>
    <w:rsid w:val="4B88354F"/>
    <w:rsid w:val="4B897577"/>
    <w:rsid w:val="4BA739F3"/>
    <w:rsid w:val="4BAA41B4"/>
    <w:rsid w:val="4BB83589"/>
    <w:rsid w:val="4BCA5B3F"/>
    <w:rsid w:val="4BCB2F27"/>
    <w:rsid w:val="4BEF3793"/>
    <w:rsid w:val="4BF4339D"/>
    <w:rsid w:val="4C2D1AE4"/>
    <w:rsid w:val="4C435AFD"/>
    <w:rsid w:val="4C525252"/>
    <w:rsid w:val="4C5C5158"/>
    <w:rsid w:val="4C8B29AF"/>
    <w:rsid w:val="4CA010BB"/>
    <w:rsid w:val="4CBA3F1B"/>
    <w:rsid w:val="4CC1550E"/>
    <w:rsid w:val="4CCB5B06"/>
    <w:rsid w:val="4D0A37F3"/>
    <w:rsid w:val="4D380018"/>
    <w:rsid w:val="4D585803"/>
    <w:rsid w:val="4D654CAB"/>
    <w:rsid w:val="4D7D0483"/>
    <w:rsid w:val="4D8712EF"/>
    <w:rsid w:val="4DFC778B"/>
    <w:rsid w:val="4E2D0EEC"/>
    <w:rsid w:val="4E324856"/>
    <w:rsid w:val="4E350587"/>
    <w:rsid w:val="4E4C4964"/>
    <w:rsid w:val="4E5F365E"/>
    <w:rsid w:val="4E91728C"/>
    <w:rsid w:val="4EF42EFE"/>
    <w:rsid w:val="4F252DDE"/>
    <w:rsid w:val="4FDE358A"/>
    <w:rsid w:val="501832A3"/>
    <w:rsid w:val="50632B28"/>
    <w:rsid w:val="50C63B0F"/>
    <w:rsid w:val="50F36C04"/>
    <w:rsid w:val="51011AC0"/>
    <w:rsid w:val="51086CD3"/>
    <w:rsid w:val="511B035E"/>
    <w:rsid w:val="512B6610"/>
    <w:rsid w:val="514D2074"/>
    <w:rsid w:val="517A3160"/>
    <w:rsid w:val="518F1895"/>
    <w:rsid w:val="51D53FD0"/>
    <w:rsid w:val="527F0375"/>
    <w:rsid w:val="528D4348"/>
    <w:rsid w:val="52BF3EA5"/>
    <w:rsid w:val="52D010B4"/>
    <w:rsid w:val="52E5462F"/>
    <w:rsid w:val="53030193"/>
    <w:rsid w:val="531427EC"/>
    <w:rsid w:val="531C785E"/>
    <w:rsid w:val="53373E0C"/>
    <w:rsid w:val="533770C8"/>
    <w:rsid w:val="5338243A"/>
    <w:rsid w:val="53BD0CC2"/>
    <w:rsid w:val="53E84DC7"/>
    <w:rsid w:val="53FF7254"/>
    <w:rsid w:val="54091EFA"/>
    <w:rsid w:val="541A6CDE"/>
    <w:rsid w:val="543B42DA"/>
    <w:rsid w:val="54481E7C"/>
    <w:rsid w:val="547A32A8"/>
    <w:rsid w:val="549C486F"/>
    <w:rsid w:val="54E64A90"/>
    <w:rsid w:val="54EF1C22"/>
    <w:rsid w:val="54F43EB0"/>
    <w:rsid w:val="55025399"/>
    <w:rsid w:val="55567F3C"/>
    <w:rsid w:val="55631682"/>
    <w:rsid w:val="55913DE9"/>
    <w:rsid w:val="55B36956"/>
    <w:rsid w:val="55BC0A87"/>
    <w:rsid w:val="55C20305"/>
    <w:rsid w:val="55C44EE3"/>
    <w:rsid w:val="55CD6DBF"/>
    <w:rsid w:val="55D409AB"/>
    <w:rsid w:val="560E70A6"/>
    <w:rsid w:val="564C33E3"/>
    <w:rsid w:val="56545D95"/>
    <w:rsid w:val="565A5E3A"/>
    <w:rsid w:val="56AA311A"/>
    <w:rsid w:val="56B357D4"/>
    <w:rsid w:val="56F339AA"/>
    <w:rsid w:val="576B630C"/>
    <w:rsid w:val="57812F2D"/>
    <w:rsid w:val="57906076"/>
    <w:rsid w:val="57F77E8D"/>
    <w:rsid w:val="57F84CFE"/>
    <w:rsid w:val="58020E8D"/>
    <w:rsid w:val="584101D8"/>
    <w:rsid w:val="584366A5"/>
    <w:rsid w:val="58464AEC"/>
    <w:rsid w:val="585D299D"/>
    <w:rsid w:val="587F332E"/>
    <w:rsid w:val="58D37D03"/>
    <w:rsid w:val="58EA7F56"/>
    <w:rsid w:val="58F80B81"/>
    <w:rsid w:val="59171D29"/>
    <w:rsid w:val="594B64BC"/>
    <w:rsid w:val="59C1394B"/>
    <w:rsid w:val="59E4333B"/>
    <w:rsid w:val="5A327175"/>
    <w:rsid w:val="5A36306F"/>
    <w:rsid w:val="5A461F67"/>
    <w:rsid w:val="5A4D12DB"/>
    <w:rsid w:val="5AA95942"/>
    <w:rsid w:val="5B3428BF"/>
    <w:rsid w:val="5B9A1A90"/>
    <w:rsid w:val="5BEA616D"/>
    <w:rsid w:val="5C620610"/>
    <w:rsid w:val="5C7C27CC"/>
    <w:rsid w:val="5C8E6646"/>
    <w:rsid w:val="5CA1473C"/>
    <w:rsid w:val="5D743AF2"/>
    <w:rsid w:val="5D784DB7"/>
    <w:rsid w:val="5D804113"/>
    <w:rsid w:val="5D86298B"/>
    <w:rsid w:val="5DF574B1"/>
    <w:rsid w:val="5E01598A"/>
    <w:rsid w:val="5E0518AE"/>
    <w:rsid w:val="5E7319C7"/>
    <w:rsid w:val="5F087C26"/>
    <w:rsid w:val="5F0B5F01"/>
    <w:rsid w:val="5F3F14B1"/>
    <w:rsid w:val="5F4A1944"/>
    <w:rsid w:val="5F736A1C"/>
    <w:rsid w:val="5F7C1524"/>
    <w:rsid w:val="5FC36777"/>
    <w:rsid w:val="60EB004D"/>
    <w:rsid w:val="61431576"/>
    <w:rsid w:val="61B07674"/>
    <w:rsid w:val="61D16983"/>
    <w:rsid w:val="627B5AC3"/>
    <w:rsid w:val="636F3799"/>
    <w:rsid w:val="63B16DA6"/>
    <w:rsid w:val="64325BAA"/>
    <w:rsid w:val="6474563E"/>
    <w:rsid w:val="64DD2E2F"/>
    <w:rsid w:val="650C79CC"/>
    <w:rsid w:val="651F0B40"/>
    <w:rsid w:val="654A3BA1"/>
    <w:rsid w:val="65720792"/>
    <w:rsid w:val="65727ED4"/>
    <w:rsid w:val="658D11B9"/>
    <w:rsid w:val="65A15618"/>
    <w:rsid w:val="660467A7"/>
    <w:rsid w:val="66471D7C"/>
    <w:rsid w:val="667D6EFB"/>
    <w:rsid w:val="6694184A"/>
    <w:rsid w:val="66FD7813"/>
    <w:rsid w:val="67825ED9"/>
    <w:rsid w:val="67A0385B"/>
    <w:rsid w:val="67B37940"/>
    <w:rsid w:val="67EA4422"/>
    <w:rsid w:val="686C2A53"/>
    <w:rsid w:val="689C4BB9"/>
    <w:rsid w:val="68A245E2"/>
    <w:rsid w:val="68B0544A"/>
    <w:rsid w:val="68D45F2D"/>
    <w:rsid w:val="690F3CAF"/>
    <w:rsid w:val="6A0C28CE"/>
    <w:rsid w:val="6A650A4D"/>
    <w:rsid w:val="6A6A1802"/>
    <w:rsid w:val="6B250037"/>
    <w:rsid w:val="6B7060C6"/>
    <w:rsid w:val="6C1F1BB5"/>
    <w:rsid w:val="6C60029B"/>
    <w:rsid w:val="6C927168"/>
    <w:rsid w:val="6CC34410"/>
    <w:rsid w:val="6CE2400C"/>
    <w:rsid w:val="6D8C5247"/>
    <w:rsid w:val="6DCD73EF"/>
    <w:rsid w:val="6E904287"/>
    <w:rsid w:val="6EA83056"/>
    <w:rsid w:val="6EB55F1D"/>
    <w:rsid w:val="6EBC36EB"/>
    <w:rsid w:val="6EBE51FD"/>
    <w:rsid w:val="6EF364B6"/>
    <w:rsid w:val="6EFF5CCE"/>
    <w:rsid w:val="6F2540A9"/>
    <w:rsid w:val="700B56BF"/>
    <w:rsid w:val="700F5C73"/>
    <w:rsid w:val="705068DD"/>
    <w:rsid w:val="70817FC6"/>
    <w:rsid w:val="70992566"/>
    <w:rsid w:val="70AF0E0B"/>
    <w:rsid w:val="70C87CAA"/>
    <w:rsid w:val="70CF179B"/>
    <w:rsid w:val="71723BF8"/>
    <w:rsid w:val="71B459C5"/>
    <w:rsid w:val="71CB4143"/>
    <w:rsid w:val="721C092E"/>
    <w:rsid w:val="723D7934"/>
    <w:rsid w:val="727266B8"/>
    <w:rsid w:val="72804A5F"/>
    <w:rsid w:val="72C81D24"/>
    <w:rsid w:val="73510736"/>
    <w:rsid w:val="73772C48"/>
    <w:rsid w:val="73B34B68"/>
    <w:rsid w:val="73C87749"/>
    <w:rsid w:val="742D20BE"/>
    <w:rsid w:val="74300B51"/>
    <w:rsid w:val="74373E1F"/>
    <w:rsid w:val="74557B08"/>
    <w:rsid w:val="745909D3"/>
    <w:rsid w:val="74757604"/>
    <w:rsid w:val="756026FD"/>
    <w:rsid w:val="757027FD"/>
    <w:rsid w:val="75882579"/>
    <w:rsid w:val="75E34C04"/>
    <w:rsid w:val="75FB2EE2"/>
    <w:rsid w:val="76185B8D"/>
    <w:rsid w:val="764C7835"/>
    <w:rsid w:val="76506818"/>
    <w:rsid w:val="76606237"/>
    <w:rsid w:val="76BC0040"/>
    <w:rsid w:val="76E97240"/>
    <w:rsid w:val="774B59B1"/>
    <w:rsid w:val="77547F95"/>
    <w:rsid w:val="77581BDC"/>
    <w:rsid w:val="77AE0218"/>
    <w:rsid w:val="77DF77F2"/>
    <w:rsid w:val="77F53FBA"/>
    <w:rsid w:val="77FE3901"/>
    <w:rsid w:val="783562BD"/>
    <w:rsid w:val="78A045C6"/>
    <w:rsid w:val="78A056D5"/>
    <w:rsid w:val="78B612F9"/>
    <w:rsid w:val="78B86F01"/>
    <w:rsid w:val="78BD180A"/>
    <w:rsid w:val="78BD2213"/>
    <w:rsid w:val="78CA2EA9"/>
    <w:rsid w:val="78CA62AD"/>
    <w:rsid w:val="78F9553C"/>
    <w:rsid w:val="79383F91"/>
    <w:rsid w:val="796C56F2"/>
    <w:rsid w:val="796E4E17"/>
    <w:rsid w:val="799C4845"/>
    <w:rsid w:val="79DA4CD9"/>
    <w:rsid w:val="79DC3C10"/>
    <w:rsid w:val="79F32D29"/>
    <w:rsid w:val="7A3031E0"/>
    <w:rsid w:val="7A5F3AF6"/>
    <w:rsid w:val="7A640644"/>
    <w:rsid w:val="7A66765A"/>
    <w:rsid w:val="7AB07AB2"/>
    <w:rsid w:val="7B011855"/>
    <w:rsid w:val="7B7C3CE3"/>
    <w:rsid w:val="7B84301F"/>
    <w:rsid w:val="7B937DA9"/>
    <w:rsid w:val="7BB813CF"/>
    <w:rsid w:val="7BFB159A"/>
    <w:rsid w:val="7C240326"/>
    <w:rsid w:val="7C5365EF"/>
    <w:rsid w:val="7C5F4A2B"/>
    <w:rsid w:val="7C605FFE"/>
    <w:rsid w:val="7C6E6F9B"/>
    <w:rsid w:val="7C724B1A"/>
    <w:rsid w:val="7D9341B1"/>
    <w:rsid w:val="7DCB2784"/>
    <w:rsid w:val="7DDB79A8"/>
    <w:rsid w:val="7DE6477E"/>
    <w:rsid w:val="7E17286F"/>
    <w:rsid w:val="7E265B35"/>
    <w:rsid w:val="7E395726"/>
    <w:rsid w:val="7E54076D"/>
    <w:rsid w:val="7E836D97"/>
    <w:rsid w:val="7E8A0DC8"/>
    <w:rsid w:val="7E8E73EF"/>
    <w:rsid w:val="7EF23A73"/>
    <w:rsid w:val="7F032C71"/>
    <w:rsid w:val="7F076C05"/>
    <w:rsid w:val="7F523D4E"/>
    <w:rsid w:val="7F7B6735"/>
    <w:rsid w:val="7F7D4793"/>
    <w:rsid w:val="F3FD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23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  <w:style w:type="character" w:customStyle="1" w:styleId="16">
    <w:name w:val="22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2726</Words>
  <Characters>3038</Characters>
  <Lines>16</Lines>
  <Paragraphs>4</Paragraphs>
  <TotalTime>30</TotalTime>
  <ScaleCrop>false</ScaleCrop>
  <LinksUpToDate>false</LinksUpToDate>
  <CharactersWithSpaces>3042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2021-07-06T14:32:00Z</dcterms:created>
  <dc:creator>微软用户</dc:creator>
  <cp:lastModifiedBy>20200618008</cp:lastModifiedBy>
  <cp:lastPrinted>2023-08-10T09:16:00Z</cp:lastPrinted>
  <dcterms:modified xsi:type="dcterms:W3CDTF">2025-08-15T04:57:49Z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C5C051BE58ED47B681D748640379E264</vt:lpwstr>
  </property>
</Properties>
</file>