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  <w:bookmarkStart w:id="0" w:name="_GoBack"/>
      <w:bookmarkEnd w:id="0"/>
    </w:p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</w:p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</w:p>
    <w:p>
      <w:pPr>
        <w:overflowPunct w:val="0"/>
        <w:adjustRightInd/>
        <w:spacing w:line="240" w:lineRule="auto"/>
        <w:rPr>
          <w:bCs/>
        </w:rPr>
      </w:pPr>
    </w:p>
    <w:p>
      <w:pPr>
        <w:overflowPunct w:val="0"/>
        <w:adjustRightInd/>
        <w:spacing w:line="240" w:lineRule="auto"/>
        <w:rPr>
          <w:bCs/>
        </w:rPr>
      </w:pPr>
    </w:p>
    <w:p>
      <w:pPr>
        <w:overflowPunct w:val="0"/>
        <w:adjustRightInd/>
        <w:spacing w:line="240" w:lineRule="auto"/>
        <w:jc w:val="center"/>
        <w:rPr>
          <w:rFonts w:eastAsia="宋体"/>
          <w:kern w:val="2"/>
        </w:rPr>
      </w:pPr>
    </w:p>
    <w:p>
      <w:pPr>
        <w:adjustRightInd/>
        <w:spacing w:line="240" w:lineRule="auto"/>
        <w:jc w:val="both"/>
        <w:rPr>
          <w:i/>
          <w:iCs/>
        </w:rPr>
      </w:pPr>
    </w:p>
    <w:p>
      <w:pPr>
        <w:adjustRightInd/>
        <w:spacing w:line="240" w:lineRule="auto"/>
        <w:jc w:val="center"/>
        <w:rPr>
          <w:rFonts w:eastAsia="宋体"/>
          <w:bCs/>
          <w:iCs/>
          <w:color w:val="auto"/>
        </w:rPr>
      </w:pPr>
      <w:bookmarkStart w:id="1" w:name="approveNum"/>
      <w:r>
        <w:rPr>
          <w:rFonts w:hint="eastAsia"/>
          <w:iCs/>
          <w:color w:val="auto"/>
        </w:rPr>
        <w:t>津发改审</w:t>
      </w:r>
      <w:r>
        <w:rPr>
          <w:rFonts w:ascii="方正仿宋_GBK" w:cs="方正仿宋_GBK"/>
          <w:color w:val="auto"/>
        </w:rPr>
        <w:t>〔</w:t>
      </w:r>
      <w:r>
        <w:rPr>
          <w:rFonts w:ascii="方正仿宋_GBK" w:cs="方正仿宋_GBK" w:hint="eastAsia"/>
          <w:color w:val="auto"/>
        </w:rPr>
        <w:t>2025</w:t>
      </w:r>
      <w:r>
        <w:rPr>
          <w:rFonts w:ascii="方正仿宋_GBK" w:cs="方正仿宋_GBK"/>
          <w:color w:val="auto"/>
        </w:rPr>
        <w:t>〕</w:t>
      </w:r>
      <w:r>
        <w:rPr>
          <w:rFonts w:ascii="方正仿宋_GBK" w:cs="方正仿宋_GBK" w:hint="eastAsia"/>
          <w:color w:val="auto"/>
          <w:lang w:val="en-US" w:eastAsia="zh-CN"/>
        </w:rPr>
        <w:t>310</w:t>
      </w:r>
      <w:r>
        <w:rPr>
          <w:rFonts w:ascii="方正仿宋_GBK" w:cs="方正仿宋_GBK"/>
          <w:color w:val="auto"/>
        </w:rPr>
        <w:t>号</w:t>
      </w:r>
      <w:bookmarkEnd w:id="1"/>
    </w:p>
    <w:p>
      <w:pPr>
        <w:spacing w:line="240" w:lineRule="auto"/>
        <w:jc w:val="center"/>
        <w:rPr>
          <w:bCs/>
          <w:color w:val="auto"/>
        </w:rPr>
      </w:pPr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color w:val="auto"/>
          <w:kern w:val="2"/>
          <w:sz w:val="44"/>
          <w:szCs w:val="44"/>
        </w:rPr>
      </w:pPr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color w:val="auto"/>
          <w:kern w:val="2"/>
          <w:sz w:val="44"/>
          <w:szCs w:val="44"/>
        </w:rPr>
      </w:pPr>
      <w:bookmarkStart w:id="2" w:name="approveUnit"/>
      <w:r>
        <w:rPr>
          <w:rFonts w:eastAsia="方正小标宋_GBK"/>
          <w:color w:val="auto"/>
          <w:kern w:val="2"/>
          <w:sz w:val="44"/>
          <w:szCs w:val="44"/>
        </w:rPr>
        <w:t>重庆市江津区发展和改革委员会</w:t>
      </w:r>
      <w:bookmarkEnd w:id="2"/>
    </w:p>
    <w:p>
      <w:pPr>
        <w:overflowPunct w:val="0"/>
        <w:adjustRightInd/>
        <w:spacing w:line="580" w:lineRule="exact"/>
        <w:jc w:val="center"/>
        <w:textAlignment w:val="auto"/>
        <w:rPr>
          <w:rFonts w:ascii="Times New Roman" w:eastAsia="方正小标宋_GBK" w:cs="Times New Roman" w:hAnsi="Times New Roman"/>
          <w:i w:val="0"/>
          <w:iCs w:val="0"/>
          <w:caps w:val="0"/>
          <w:smallCaps w:val="0"/>
          <w:color w:val="auto"/>
          <w:spacing w:val="0"/>
          <w:kern w:val="2"/>
          <w:sz w:val="44"/>
          <w:szCs w:val="44"/>
          <w:shd w:val="clear" w:color="auto" w:fill="auto"/>
        </w:rPr>
      </w:pPr>
      <w:r>
        <w:rPr>
          <w:rFonts w:eastAsia="方正小标宋_GBK"/>
          <w:color w:val="auto"/>
          <w:kern w:val="2"/>
          <w:sz w:val="44"/>
          <w:szCs w:val="44"/>
        </w:rPr>
        <w:t>关于</w:t>
      </w:r>
      <w:r>
        <w:rPr>
          <w:rFonts w:ascii="Times New Roman" w:eastAsia="方正小标宋_GBK" w:cs="Times New Roman" w:hAnsi="Times New Roman"/>
          <w:i w:val="0"/>
          <w:iCs w:val="0"/>
          <w:caps w:val="0"/>
          <w:smallCaps w:val="0"/>
          <w:color w:val="auto"/>
          <w:spacing w:val="0"/>
          <w:kern w:val="2"/>
          <w:sz w:val="44"/>
          <w:szCs w:val="44"/>
          <w:shd w:val="clear" w:color="auto" w:fill="auto"/>
        </w:rPr>
        <w:t>白沙镇万年海水库产业发展道路工程</w:t>
      </w:r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color w:val="auto"/>
          <w:kern w:val="2"/>
          <w:sz w:val="44"/>
          <w:szCs w:val="44"/>
        </w:rPr>
      </w:pPr>
      <w:r>
        <w:rPr>
          <w:rFonts w:eastAsia="方正小标宋_GBK"/>
          <w:color w:val="auto"/>
          <w:kern w:val="2"/>
          <w:sz w:val="44"/>
          <w:szCs w:val="44"/>
        </w:rPr>
        <w:t>可研</w:t>
      </w:r>
      <w:r>
        <w:rPr>
          <w:rFonts w:eastAsia="方正小标宋_GBK"/>
          <w:color w:val="auto"/>
          <w:kern w:val="2"/>
          <w:sz w:val="44"/>
          <w:szCs w:val="44"/>
        </w:rPr>
        <w:t>的批复</w:t>
      </w:r>
    </w:p>
    <w:p>
      <w:pPr>
        <w:overflowPunct w:val="0"/>
        <w:adjustRightInd/>
        <w:spacing w:line="600" w:lineRule="exact"/>
        <w:textAlignment w:val="auto"/>
        <w:rPr>
          <w:color w:val="auto"/>
          <w:kern w:val="2"/>
        </w:rPr>
      </w:pPr>
    </w:p>
    <w:p>
      <w:pPr>
        <w:overflowPunct w:val="0"/>
        <w:adjustRightInd/>
        <w:spacing w:line="600" w:lineRule="exact"/>
        <w:textAlignment w:val="auto"/>
        <w:rPr>
          <w:color w:val="auto"/>
          <w:kern w:val="2"/>
        </w:rPr>
      </w:pPr>
      <w:r>
        <w:rPr>
          <w:color w:val="auto"/>
          <w:kern w:val="2"/>
        </w:rPr>
        <w:t>重庆</w:t>
      </w:r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市江津区白沙镇人民政府</w:t>
      </w:r>
      <w:r>
        <w:rPr>
          <w:color w:val="auto"/>
          <w:kern w:val="2"/>
        </w:rPr>
        <w:t>：</w:t>
      </w:r>
    </w:p>
    <w:p>
      <w:pPr>
        <w:keepNext w:val="0"/>
        <w:keepLines w:val="0"/>
        <w:widowControl w:val="0"/>
        <w:suppressLineNumbers w:val="0"/>
        <w:overflowPunct/>
        <w:adjustRightInd/>
        <w:spacing w:before="0" w:beforeAutospacing="0" w:after="0" w:afterAutospacing="0" w:line="579" w:lineRule="exact"/>
        <w:ind w:left="0" w:right="0" w:firstLineChars="200" w:firstLine="632"/>
        <w:jc w:val="both"/>
        <w:textAlignment w:val="auto"/>
        <w:rPr>
          <w:rFonts w:ascii="方正仿宋_GBK" w:cs="方正仿宋_GBK"/>
          <w:color w:val="auto"/>
          <w:kern w:val="2"/>
        </w:rPr>
      </w:pPr>
      <w:r>
        <w:rPr>
          <w:rFonts w:hint="eastAsia"/>
          <w:color w:val="auto"/>
          <w:kern w:val="2"/>
        </w:rPr>
        <w:t>你</w:t>
      </w:r>
      <w:r>
        <w:rPr>
          <w:rFonts w:hint="eastAsia"/>
          <w:color w:val="auto"/>
          <w:kern w:val="2"/>
          <w:lang w:eastAsia="zh-CN"/>
        </w:rPr>
        <w:t>镇报</w:t>
      </w:r>
      <w:r>
        <w:rPr>
          <w:color w:val="auto"/>
          <w:kern w:val="2"/>
          <w:lang w:eastAsia="zh-CN"/>
        </w:rPr>
        <w:t>来</w:t>
      </w:r>
      <w:r>
        <w:rPr>
          <w:rFonts w:ascii="Times New Roman" w:eastAsia="方正仿宋_GBK" w:cs="Times New Roman" w:hAnsi="Times New Roman" w:hint="eastAsia"/>
          <w:color w:val="auto"/>
          <w:kern w:val="2"/>
          <w:sz w:val="32"/>
          <w:szCs w:val="32"/>
          <w:lang w:val="en-US" w:eastAsia="zh-CN"/>
        </w:rPr>
        <w:t>《关于申请</w:t>
      </w:r>
      <w:r>
        <w:rPr>
          <w:rFonts w:ascii="Times New Roman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  <w:lang w:eastAsia="zh-CN"/>
        </w:rPr>
        <w:t>审批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白沙镇万年海水库产业发展道路工程</w:t>
      </w:r>
      <w:r>
        <w:rPr>
          <w:rFonts w:ascii="Times New Roman" w:cs="Times New Roman" w:hAnsi="Times New Roman" w:hint="eastAsia"/>
          <w:color w:val="auto"/>
          <w:kern w:val="2"/>
          <w:sz w:val="32"/>
          <w:szCs w:val="32"/>
          <w:lang w:val="en-US" w:eastAsia="zh-CN"/>
        </w:rPr>
        <w:t>可研</w:t>
      </w:r>
      <w:r>
        <w:rPr>
          <w:rFonts w:ascii="Times New Roman" w:eastAsia="方正仿宋_GBK" w:cs="Times New Roman" w:hAnsi="Times New Roman" w:hint="eastAsia"/>
          <w:color w:val="auto"/>
          <w:kern w:val="2"/>
          <w:sz w:val="32"/>
          <w:szCs w:val="32"/>
          <w:lang w:val="en-US" w:eastAsia="zh-CN"/>
        </w:rPr>
        <w:t>的函》（</w:t>
      </w:r>
      <w:r>
        <w:rPr>
          <w:rFonts w:cs="Times New Roman" w:hint="eastAsia"/>
          <w:color w:val="auto"/>
          <w:kern w:val="2"/>
          <w:sz w:val="32"/>
          <w:szCs w:val="32"/>
          <w:lang w:val="en-US" w:eastAsia="zh-CN"/>
        </w:rPr>
        <w:t>白沙府函</w:t>
      </w:r>
      <w:r>
        <w:rPr>
          <w:rFonts w:ascii="Times New Roman" w:eastAsia="方正仿宋_GBK" w:cs="Times New Roman" w:hAnsi="Times New Roman" w:hint="eastAsia"/>
          <w:color w:val="auto"/>
          <w:kern w:val="2"/>
          <w:sz w:val="32"/>
          <w:szCs w:val="32"/>
          <w:lang w:val="en-US" w:eastAsia="zh-CN"/>
        </w:rPr>
        <w:t>〔2025〕</w:t>
      </w:r>
      <w:r>
        <w:rPr>
          <w:rFonts w:cs="Times New Roman" w:hint="eastAsia"/>
          <w:color w:val="auto"/>
          <w:kern w:val="2"/>
          <w:sz w:val="32"/>
          <w:szCs w:val="32"/>
          <w:lang w:val="en-US" w:eastAsia="zh-CN"/>
        </w:rPr>
        <w:t>261</w:t>
      </w:r>
      <w:r>
        <w:rPr>
          <w:rFonts w:ascii="Times New Roman" w:eastAsia="方正仿宋_GBK" w:cs="Times New Roman" w:hAnsi="Times New Roman" w:hint="eastAsia"/>
          <w:color w:val="auto"/>
          <w:kern w:val="2"/>
          <w:sz w:val="32"/>
          <w:szCs w:val="32"/>
          <w:lang w:val="en-US" w:eastAsia="zh-CN"/>
        </w:rPr>
        <w:t>号)及相关附件资料</w:t>
      </w:r>
      <w:r>
        <w:rPr>
          <w:rFonts w:ascii="Times New Roman" w:cs="Times New Roman" w:hAnsi="Times New Roman" w:hint="eastAsia"/>
          <w:color w:val="auto"/>
          <w:kern w:val="2"/>
        </w:rPr>
        <w:t>收悉。</w:t>
      </w:r>
      <w:r>
        <w:rPr>
          <w:rFonts w:ascii="Times New Roman" w:cs="Times New Roman" w:hAnsi="Times New Roman" w:hint="eastAsia"/>
          <w:color w:val="auto"/>
          <w:kern w:val="2"/>
          <w:lang w:eastAsia="zh-CN"/>
        </w:rPr>
        <w:t>根据政府投资管理相关规定，</w:t>
      </w:r>
      <w:r>
        <w:rPr>
          <w:rFonts w:cs="Times New Roman" w:hint="eastAsia"/>
          <w:color w:val="auto"/>
          <w:kern w:val="2"/>
          <w:lang w:eastAsia="zh-CN"/>
        </w:rPr>
        <w:t>结合区领导对区交通运输委</w:t>
      </w:r>
      <w:r>
        <w:rPr>
          <w:rFonts w:ascii="Times New Roman" w:eastAsia="方正仿宋_GBK" w:cs="Times New Roman" w:hAnsi="Times New Roman" w:hint="eastAsia"/>
          <w:color w:val="auto"/>
          <w:kern w:val="2"/>
          <w:sz w:val="32"/>
          <w:szCs w:val="32"/>
          <w:lang w:val="en-US" w:eastAsia="zh-CN"/>
        </w:rPr>
        <w:t>《关于</w:t>
      </w:r>
      <w:r>
        <w:rPr>
          <w:rFonts w:cs="Times New Roman" w:hint="eastAsia"/>
          <w:color w:val="auto"/>
          <w:kern w:val="2"/>
          <w:sz w:val="32"/>
          <w:szCs w:val="32"/>
          <w:lang w:val="en-US" w:eastAsia="zh-CN"/>
        </w:rPr>
        <w:t>调整2025年部分农村公路建设项目计划的请示</w:t>
      </w:r>
      <w:r>
        <w:rPr>
          <w:rFonts w:ascii="Times New Roman" w:eastAsia="方正仿宋_GBK" w:cs="Times New Roman" w:hAnsi="Times New Roman" w:hint="eastAsia"/>
          <w:color w:val="auto"/>
          <w:kern w:val="2"/>
          <w:sz w:val="32"/>
          <w:szCs w:val="32"/>
          <w:lang w:val="en-US" w:eastAsia="zh-CN"/>
        </w:rPr>
        <w:t>》（</w:t>
      </w:r>
      <w:r>
        <w:rPr>
          <w:rFonts w:cs="Times New Roman" w:hint="eastAsia"/>
          <w:color w:val="auto"/>
          <w:kern w:val="2"/>
          <w:sz w:val="32"/>
          <w:szCs w:val="32"/>
          <w:lang w:val="en-US" w:eastAsia="zh-CN"/>
        </w:rPr>
        <w:t>公文办件</w:t>
      </w:r>
      <w:r>
        <w:rPr>
          <w:rFonts w:ascii="Times New Roman" w:eastAsia="方正仿宋_GBK" w:cs="Times New Roman" w:hAnsi="Times New Roman" w:hint="eastAsia"/>
          <w:color w:val="auto"/>
          <w:kern w:val="2"/>
          <w:sz w:val="32"/>
          <w:szCs w:val="32"/>
          <w:lang w:val="en-US" w:eastAsia="zh-CN"/>
        </w:rPr>
        <w:t>〔2025〕</w:t>
      </w:r>
      <w:r>
        <w:rPr>
          <w:rFonts w:cs="Times New Roman" w:hint="eastAsia"/>
          <w:color w:val="auto"/>
          <w:kern w:val="2"/>
          <w:sz w:val="32"/>
          <w:szCs w:val="32"/>
          <w:lang w:val="en-US" w:eastAsia="zh-CN"/>
        </w:rPr>
        <w:t>6719</w:t>
      </w:r>
      <w:r>
        <w:rPr>
          <w:rFonts w:ascii="Times New Roman" w:eastAsia="方正仿宋_GBK" w:cs="Times New Roman" w:hAnsi="Times New Roman" w:hint="eastAsia"/>
          <w:color w:val="auto"/>
          <w:kern w:val="2"/>
          <w:sz w:val="32"/>
          <w:szCs w:val="32"/>
          <w:lang w:val="en-US" w:eastAsia="zh-CN"/>
        </w:rPr>
        <w:t>号)</w:t>
      </w:r>
      <w:r>
        <w:rPr>
          <w:rFonts w:cs="Times New Roman" w:hint="eastAsia"/>
          <w:color w:val="auto"/>
          <w:kern w:val="2"/>
          <w:sz w:val="32"/>
          <w:szCs w:val="32"/>
          <w:lang w:val="en-US" w:eastAsia="zh-CN"/>
        </w:rPr>
        <w:t>，签批意见</w:t>
      </w:r>
      <w:r>
        <w:rPr>
          <w:rFonts w:ascii="方正仿宋_GBK" w:cs="方正仿宋_GBK"/>
          <w:color w:val="auto"/>
          <w:kern w:val="2"/>
        </w:rPr>
        <w:t>经研究，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现就有关事宜批复如下：</w:t>
      </w:r>
    </w:p>
    <w:p>
      <w:pPr>
        <w:widowControl/>
        <w:overflowPunct/>
        <w:adjustRightInd/>
        <w:spacing w:line="240" w:lineRule="auto"/>
        <w:ind w:firstLineChars="200" w:firstLine="632"/>
        <w:jc w:val="left"/>
        <w:textAlignment w:val="auto"/>
        <w:rPr>
          <w:color w:val="auto"/>
          <w:kern w:val="2"/>
        </w:rPr>
      </w:pPr>
      <w:r>
        <w:rPr>
          <w:rFonts w:hint="eastAsia"/>
          <w:color w:val="auto"/>
          <w:kern w:val="2"/>
        </w:rPr>
        <w:t>一、</w:t>
      </w:r>
      <w:r>
        <w:rPr>
          <w:rFonts w:ascii="方正仿宋_GBK" w:cs="方正仿宋_GBK"/>
          <w:iCs w:val="0"/>
          <w:color w:val="auto"/>
          <w:kern w:val="2"/>
          <w:lang w:eastAsia="zh-CN"/>
        </w:rPr>
        <w:t>为</w:t>
      </w:r>
      <w:r>
        <w:rPr>
          <w:rFonts w:ascii="方正仿宋_GBK" w:cs="方正仿宋_GBK" w:hint="eastAsia"/>
          <w:iCs w:val="0"/>
          <w:color w:val="auto"/>
          <w:kern w:val="2"/>
          <w:lang w:eastAsia="zh-CN"/>
        </w:rPr>
        <w:t>改善项目区域群众出行条件</w:t>
      </w:r>
      <w:r>
        <w:rPr>
          <w:rFonts w:ascii="方正仿宋_GBK" w:cs="方正仿宋_GBK" w:hint="eastAsia"/>
          <w:color w:val="auto"/>
          <w:kern w:val="2"/>
          <w:sz w:val="32"/>
          <w:szCs w:val="32"/>
          <w:lang w:val="en-US" w:eastAsia="zh-CN"/>
        </w:rPr>
        <w:t>，</w:t>
      </w:r>
      <w:r>
        <w:rPr>
          <w:rFonts w:ascii="方正仿宋_GBK" w:cs="方正仿宋_GBK"/>
          <w:color w:val="auto"/>
          <w:kern w:val="2"/>
        </w:rPr>
        <w:t>同意实施该</w:t>
      </w:r>
      <w:r>
        <w:rPr>
          <w:rFonts w:hint="eastAsia"/>
          <w:color w:val="auto"/>
          <w:kern w:val="2"/>
        </w:rPr>
        <w:t>项目。</w:t>
      </w:r>
    </w:p>
    <w:p>
      <w:pPr>
        <w:widowControl/>
        <w:overflowPunct/>
        <w:adjustRightInd/>
        <w:spacing w:line="240" w:lineRule="auto"/>
        <w:ind w:firstLineChars="200" w:firstLine="632"/>
        <w:jc w:val="left"/>
        <w:textAlignment w:val="auto"/>
        <w:rPr>
          <w:rFonts w:ascii="方正仿宋_GBK" w:cs="方正仿宋_GBK" w:hint="eastAsia"/>
          <w:color w:val="auto"/>
          <w:kern w:val="2"/>
        </w:rPr>
      </w:pPr>
      <w:r>
        <w:rPr>
          <w:rFonts w:hint="eastAsia"/>
          <w:color w:val="auto"/>
          <w:kern w:val="32"/>
        </w:rPr>
        <w:t>二、项目代</w:t>
      </w:r>
      <w:r>
        <w:rPr>
          <w:rFonts w:ascii="方正仿宋_GBK" w:cs="方正仿宋_GBK" w:hint="eastAsia"/>
          <w:color w:val="auto"/>
          <w:kern w:val="2"/>
        </w:rPr>
        <w:t>码：</w:t>
      </w:r>
      <w:r>
        <w:rPr>
          <w:rFonts w:ascii="方正仿宋_GBK" w:eastAsia="方正仿宋_GBK" w:cs="方正仿宋_GBK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2511-500116-04-01-938284</w:t>
      </w:r>
      <w:r>
        <w:rPr>
          <w:rFonts w:ascii="方正仿宋_GBK" w:cs="方正仿宋_GBK" w:hint="eastAsia"/>
          <w:color w:val="auto"/>
          <w:kern w:val="2"/>
        </w:rPr>
        <w:t>。</w:t>
      </w:r>
    </w:p>
    <w:p>
      <w:pPr>
        <w:widowControl/>
        <w:overflowPunct/>
        <w:adjustRightInd/>
        <w:spacing w:line="240" w:lineRule="auto"/>
        <w:ind w:firstLineChars="200" w:firstLine="632"/>
        <w:jc w:val="left"/>
        <w:textAlignment w:val="auto"/>
        <w:rPr>
          <w:rFonts w:ascii="方正仿宋_GBK" w:cs="方正仿宋_GBK" w:hint="eastAsia"/>
          <w:color w:val="auto"/>
          <w:kern w:val="2"/>
        </w:rPr>
      </w:pPr>
      <w:r>
        <w:rPr>
          <w:rFonts w:ascii="方正仿宋_GBK" w:cs="方正仿宋_GBK" w:hint="eastAsia"/>
          <w:color w:val="auto"/>
          <w:kern w:val="2"/>
        </w:rPr>
        <w:t>三、项目法人：重庆</w:t>
      </w:r>
      <w:r>
        <w:rPr>
          <w:rFonts w:ascii="方正仿宋_GBK" w:eastAsia="方正仿宋_GBK" w:cs="方正仿宋_GBK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市江津区白沙镇人民政府</w:t>
      </w:r>
      <w:r>
        <w:rPr>
          <w:rFonts w:ascii="方正仿宋_GBK" w:cs="方正仿宋_GBK" w:hint="eastAsia"/>
          <w:color w:val="auto"/>
          <w:kern w:val="2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hint="eastAsia"/>
          <w:color w:val="auto"/>
          <w:kern w:val="32"/>
        </w:rPr>
      </w:pPr>
      <w:r>
        <w:rPr>
          <w:rFonts w:hint="eastAsia"/>
          <w:color w:val="auto"/>
          <w:kern w:val="32"/>
        </w:rPr>
        <w:t>四、项目建设地点：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32"/>
          <w:sz w:val="32"/>
          <w:szCs w:val="32"/>
          <w:shd w:val="clear" w:color="auto" w:fill="auto"/>
        </w:rPr>
        <w:t>白沙镇东山社区、永兴镇黄庄村</w:t>
      </w:r>
      <w:r>
        <w:rPr>
          <w:rFonts w:hint="eastAsia"/>
          <w:color w:val="auto"/>
          <w:kern w:val="32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hint="eastAsia"/>
          <w:color w:val="auto"/>
          <w:kern w:val="2"/>
        </w:rPr>
      </w:pPr>
      <w:r>
        <w:rPr>
          <w:color w:val="auto"/>
          <w:kern w:val="32"/>
        </w:rPr>
        <w:t>五、</w:t>
      </w:r>
      <w:r>
        <w:rPr>
          <w:color w:val="auto"/>
        </w:rPr>
        <w:t>建设规模、标准及主要建设内容</w:t>
      </w:r>
      <w:r>
        <w:rPr>
          <w:rFonts w:hint="eastAsia"/>
          <w:color w:val="auto"/>
          <w:kern w:val="2"/>
        </w:rPr>
        <w:t>：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auto"/>
        </w:rPr>
      </w:pPr>
      <w:r>
        <w:rPr>
          <w:rFonts w:cs="Times New Roman" w:hint="eastAsia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  <w:lang w:eastAsia="zh-CN"/>
        </w:rPr>
        <w:t>项目包含主线及支线两部分组成。其中，</w:t>
      </w:r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</w:rPr>
        <w:t>主线起于万年海水库大坝，止于团山堡；支线起于砖厂，止于加压站，长约2公里，道路路基宽度4.5米，5厘米厚碎石调平层，20厘米厚C30水泥混凝土面层，每公里设置错车道不少于3个，设置混凝土边沟，最大纵坡不得超过12%。按规范设置完善交通安全设施，且与主体工程“同步设计、同步实施、同步验收”</w:t>
      </w:r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auto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color w:val="auto"/>
        </w:rPr>
      </w:pPr>
      <w:r>
        <w:rPr>
          <w:color w:val="auto"/>
        </w:rPr>
        <w:t>六、</w:t>
      </w:r>
      <w:r>
        <w:rPr>
          <w:rFonts w:hint="eastAsia"/>
          <w:color w:val="auto"/>
          <w:kern w:val="2"/>
        </w:rPr>
        <w:t>投资估算及资金来源：</w:t>
      </w:r>
      <w:r>
        <w:rPr>
          <w:color w:val="auto"/>
        </w:rPr>
        <w:t>总投资</w:t>
      </w:r>
      <w:r>
        <w:rPr>
          <w:rFonts w:hint="eastAsia"/>
          <w:color w:val="auto"/>
          <w:lang w:val="en-US" w:eastAsia="zh-CN"/>
        </w:rPr>
        <w:t>299.91</w:t>
      </w:r>
      <w:r>
        <w:rPr>
          <w:color w:val="auto"/>
        </w:rPr>
        <w:t>万元，其中</w:t>
      </w:r>
      <w:r>
        <w:rPr>
          <w:rFonts w:hint="eastAsia"/>
          <w:color w:val="auto"/>
          <w:lang w:eastAsia="zh-CN"/>
        </w:rPr>
        <w:t>工程费用</w:t>
      </w:r>
      <w:r>
        <w:rPr>
          <w:rFonts w:hint="eastAsia"/>
          <w:color w:val="auto"/>
          <w:lang w:val="en-US" w:eastAsia="zh-CN"/>
        </w:rPr>
        <w:t>279.03</w:t>
      </w:r>
      <w:r>
        <w:rPr>
          <w:color w:val="auto"/>
        </w:rPr>
        <w:t>万元，工程建设其他费</w:t>
      </w:r>
      <w:r>
        <w:rPr>
          <w:rFonts w:hint="eastAsia"/>
          <w:color w:val="auto"/>
          <w:lang w:val="en-US" w:eastAsia="zh-CN"/>
        </w:rPr>
        <w:t>6.6</w:t>
      </w:r>
      <w:r>
        <w:rPr>
          <w:color w:val="auto"/>
        </w:rPr>
        <w:t>万元，</w:t>
      </w:r>
      <w:r>
        <w:rPr>
          <w:rFonts w:hint="eastAsia"/>
          <w:color w:val="auto"/>
        </w:rPr>
        <w:t>基本</w:t>
      </w:r>
      <w:r>
        <w:rPr>
          <w:color w:val="auto"/>
        </w:rPr>
        <w:t>预备费</w:t>
      </w:r>
      <w:r>
        <w:rPr>
          <w:rFonts w:hint="eastAsia"/>
          <w:color w:val="auto"/>
          <w:lang w:val="en-US" w:eastAsia="zh-CN"/>
        </w:rPr>
        <w:t>14.28</w:t>
      </w:r>
      <w:r>
        <w:rPr>
          <w:color w:val="auto"/>
        </w:rPr>
        <w:t>万元。</w:t>
      </w:r>
      <w:r>
        <w:rPr>
          <w:rFonts w:hint="eastAsia"/>
          <w:color w:val="auto"/>
          <w:kern w:val="2"/>
        </w:rPr>
        <w:t>资金来源为</w:t>
      </w:r>
      <w:r>
        <w:rPr>
          <w:rFonts w:hint="eastAsia"/>
          <w:color w:val="auto"/>
          <w:kern w:val="2"/>
          <w:lang w:val="en-US" w:eastAsia="zh-CN"/>
        </w:rPr>
        <w:t>区财政补助及自筹</w:t>
      </w:r>
      <w:r>
        <w:rPr>
          <w:rFonts w:hint="eastAsia"/>
          <w:color w:val="auto"/>
          <w:kern w:val="2"/>
        </w:rPr>
        <w:t>。</w:t>
      </w:r>
    </w:p>
    <w:p>
      <w:pPr>
        <w:overflowPunct w:val="0"/>
        <w:adjustRightInd/>
        <w:spacing w:line="580" w:lineRule="exact"/>
        <w:jc w:val="center"/>
        <w:textAlignment w:val="auto"/>
        <w:rPr>
          <w:color w:val="auto"/>
        </w:rPr>
      </w:pPr>
      <w:r>
        <w:rPr>
          <w:color w:val="auto"/>
        </w:rPr>
        <w:t>七、建设工期：</w:t>
      </w: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</w:rPr>
        <w:t>个月</w:t>
      </w:r>
      <w:r>
        <w:rPr>
          <w:color w:val="auto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color w:val="auto"/>
        </w:rPr>
      </w:pPr>
      <w:r>
        <w:rPr>
          <w:color w:val="auto"/>
        </w:rPr>
        <w:t>八</w:t>
      </w:r>
      <w:r>
        <w:rPr>
          <w:rFonts w:cs="方正仿宋_GBK" w:hint="eastAsia"/>
          <w:color w:val="auto"/>
          <w:kern w:val="2"/>
        </w:rPr>
        <w:t>、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u w:val="none"/>
          <w:lang w:val="en-US" w:eastAsia="zh-CN"/>
        </w:rPr>
        <w:t>请你单位接文后，按照本</w:t>
      </w:r>
      <w:r>
        <w:rPr>
          <w:rFonts w:ascii="方正仿宋_GBK" w:eastAsia="方正仿宋_GBK" w:cs="方正仿宋_GBK" w:hint="eastAsia"/>
          <w:color w:val="auto"/>
          <w:kern w:val="2"/>
          <w:sz w:val="32"/>
          <w:szCs w:val="32"/>
          <w:u w:val="none"/>
          <w:lang w:val="en-US" w:eastAsia="zh-CN"/>
        </w:rPr>
        <w:t>次批复的建设内容、建设规模、建设标准和投资等开展后续工作，待项目资金落实后方可开工建设，严禁以任何形式违规举债新增政府隐性债务。建设过程中要实行项目法人责任制、招标投标制、工程监理制和合同管理制，切实加强工程管理，确保工程质量、投资、工期控制到位</w:t>
      </w:r>
      <w:r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  <w:t xml:space="preserve"> </w:t>
      </w:r>
    </w:p>
    <w:p>
      <w:pPr>
        <w:pStyle w:val="16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pStyle w:val="17"/>
        <w:tabs>
          <w:tab w:val="center" w:pos="4153"/>
          <w:tab w:val="right" w:pos="8306"/>
        </w:tabs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pStyle w:val="16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pStyle w:val="17"/>
        <w:tabs>
          <w:tab w:val="center" w:pos="4153"/>
          <w:tab w:val="right" w:pos="8306"/>
        </w:tabs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pStyle w:val="16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pStyle w:val="17"/>
        <w:tabs>
          <w:tab w:val="center" w:pos="4153"/>
          <w:tab w:val="right" w:pos="8306"/>
        </w:tabs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pStyle w:val="16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pStyle w:val="17"/>
        <w:tabs>
          <w:tab w:val="center" w:pos="4153"/>
          <w:tab w:val="right" w:pos="8306"/>
        </w:tabs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pStyle w:val="16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pStyle w:val="17"/>
        <w:tabs>
          <w:tab w:val="center" w:pos="4153"/>
          <w:tab w:val="right" w:pos="8306"/>
        </w:tabs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pStyle w:val="16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pStyle w:val="17"/>
        <w:tabs>
          <w:tab w:val="center" w:pos="4153"/>
          <w:tab w:val="right" w:pos="8306"/>
        </w:tabs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Chars="200" w:firstLine="632"/>
        <w:jc w:val="right"/>
        <w:textAlignment w:val="auto"/>
        <w:rPr>
          <w:color w:val="auto"/>
          <w:kern w:val="2"/>
        </w:rPr>
      </w:pPr>
      <w:bookmarkStart w:id="3" w:name="approveUnit1"/>
      <w:r>
        <w:rPr>
          <w:color w:val="auto"/>
          <w:kern w:val="2"/>
        </w:rPr>
        <w:t>重庆市江津区发展和改革委员会</w:t>
      </w: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hint="eastAsia"/>
          <w:color w:val="auto"/>
          <w:kern w:val="2"/>
        </w:rPr>
      </w:pPr>
      <w:r>
        <w:rPr>
          <w:color w:val="auto"/>
          <w:kern w:val="2"/>
        </w:rPr>
        <w:t xml:space="preserve">                      </w:t>
      </w:r>
      <w:r>
        <w:rPr>
          <w:rFonts w:hint="eastAsia"/>
          <w:color w:val="auto"/>
          <w:kern w:val="2"/>
        </w:rPr>
        <w:t xml:space="preserve"> </w:t>
      </w:r>
      <w:r>
        <w:rPr>
          <w:color w:val="auto"/>
          <w:kern w:val="2"/>
        </w:rPr>
        <w:t xml:space="preserve"> </w:t>
      </w:r>
      <w:r>
        <w:rPr>
          <w:rFonts w:hint="eastAsia"/>
          <w:color w:val="auto"/>
          <w:kern w:val="2"/>
          <w:lang w:val="en-US" w:eastAsia="zh-CN"/>
        </w:rPr>
        <w:t xml:space="preserve">   </w:t>
      </w:r>
      <w:r>
        <w:rPr>
          <w:color w:val="auto"/>
          <w:kern w:val="2"/>
        </w:rPr>
        <w:t xml:space="preserve">   </w:t>
      </w:r>
      <w:r>
        <w:rPr>
          <w:rFonts w:hint="eastAsia"/>
          <w:color w:val="auto"/>
          <w:kern w:val="2"/>
        </w:rPr>
        <w:t>2025年</w:t>
      </w:r>
      <w:r>
        <w:rPr>
          <w:rFonts w:hint="eastAsia"/>
          <w:color w:val="auto"/>
          <w:kern w:val="2"/>
          <w:lang w:val="en-US" w:eastAsia="zh-CN"/>
        </w:rPr>
        <w:t>11</w:t>
      </w:r>
      <w:r>
        <w:rPr>
          <w:rFonts w:hint="eastAsia"/>
          <w:color w:val="auto"/>
          <w:kern w:val="2"/>
        </w:rPr>
        <w:t>月</w:t>
      </w:r>
      <w:r>
        <w:rPr>
          <w:rFonts w:hint="eastAsia"/>
          <w:color w:val="auto"/>
          <w:kern w:val="2"/>
          <w:lang w:val="en-US" w:eastAsia="zh-CN"/>
        </w:rPr>
        <w:t>25</w:t>
      </w:r>
      <w:r>
        <w:rPr>
          <w:rFonts w:hint="eastAsia"/>
          <w:color w:val="auto"/>
          <w:kern w:val="2"/>
        </w:rPr>
        <w:t xml:space="preserve">日  </w:t>
      </w:r>
    </w:p>
    <w:p>
      <w:pPr>
        <w:pBdr>
          <w:bottom w:val="single" w:sz="4" w:space="0" w:color="auto"/>
        </w:pBdr>
        <w:spacing w:line="500" w:lineRule="exact"/>
        <w:ind w:firstLineChars="1550" w:firstLine="4896"/>
        <w:rPr>
          <w:rFonts w:ascii="方正仿宋_GBK" w:eastAsia="方正仿宋_GBK" w:hint="eastAsia"/>
          <w:color w:val="auto"/>
          <w:sz w:val="32"/>
          <w:szCs w:val="32"/>
        </w:rPr>
      </w:pPr>
    </w:p>
    <w:p>
      <w:pPr>
        <w:tabs>
          <w:tab w:val="left" w:pos="7560"/>
        </w:tabs>
        <w:spacing w:line="500" w:lineRule="exact"/>
        <w:ind w:leftChars="132" w:left="1244" w:hangingChars="300" w:hanging="827"/>
        <w:rPr>
          <w:rFonts w:ascii="方正仿宋_GBK" w:eastAsia="方正仿宋_GBK" w:hint="eastAsia"/>
          <w:color w:val="auto"/>
          <w:sz w:val="28"/>
          <w:szCs w:val="28"/>
        </w:rPr>
      </w:pPr>
      <w:r>
        <w:rPr>
          <w:rFonts w:ascii="方正仿宋_GBK" w:eastAsia="方正仿宋_GBK" w:hint="eastAsia"/>
          <w:color w:val="auto"/>
          <w:sz w:val="28"/>
          <w:szCs w:val="28"/>
        </w:rPr>
        <w:t>抄送：</w:t>
      </w:r>
      <w:r>
        <w:rPr>
          <w:rFonts w:ascii="方正仿宋_GBK" w:hint="eastAsia"/>
          <w:color w:val="auto"/>
          <w:sz w:val="28"/>
          <w:szCs w:val="28"/>
          <w:lang w:eastAsia="zh-CN"/>
        </w:rPr>
        <w:t>江津区规资局，区交通运输委、</w:t>
      </w:r>
      <w:r>
        <w:rPr>
          <w:rFonts w:ascii="方正仿宋_GBK" w:eastAsia="方正仿宋_GBK" w:hint="eastAsia"/>
          <w:color w:val="auto"/>
          <w:sz w:val="28"/>
          <w:szCs w:val="28"/>
        </w:rPr>
        <w:t>区财政局、区审计局、区统计局</w:t>
      </w:r>
      <w:r>
        <w:rPr>
          <w:rFonts w:ascii="方正仿宋_GBK" w:eastAsia="方正仿宋_GBK" w:hint="eastAsia"/>
          <w:color w:val="auto"/>
          <w:spacing w:val="40"/>
          <w:sz w:val="28"/>
          <w:szCs w:val="28"/>
        </w:rPr>
        <w:t>。</w:t>
      </w:r>
    </w:p>
    <w:p>
      <w:pPr>
        <w:pBdr>
          <w:top w:val="single" w:sz="4" w:space="1" w:color="auto"/>
          <w:bottom w:val="single" w:sz="4" w:space="1" w:color="auto"/>
        </w:pBdr>
        <w:spacing w:line="500" w:lineRule="exact"/>
        <w:ind w:firstLineChars="100" w:firstLine="276"/>
        <w:rPr>
          <w:rFonts w:ascii="方正仿宋_GBK" w:eastAsia="方正仿宋_GBK" w:hint="eastAsia"/>
          <w:color w:val="auto"/>
          <w:sz w:val="28"/>
          <w:szCs w:val="28"/>
        </w:rPr>
      </w:pPr>
      <w:r>
        <w:rPr>
          <w:rFonts w:ascii="方正仿宋_GBK" w:eastAsia="方正仿宋_GBK" w:hint="eastAsia"/>
          <w:color w:val="auto"/>
          <w:sz w:val="28"/>
          <w:szCs w:val="28"/>
        </w:rPr>
        <w:t>重庆市江津区发展和改革委员会办公室     202</w:t>
      </w:r>
      <w:r>
        <w:rPr>
          <w:rFonts w:ascii="方正仿宋_GBK" w:eastAsia="方正仿宋_GBK" w:hint="eastAsia"/>
          <w:color w:val="auto"/>
          <w:sz w:val="28"/>
          <w:szCs w:val="28"/>
          <w:lang w:val="en-US" w:eastAsia="zh-CN"/>
        </w:rPr>
        <w:t>5</w:t>
      </w:r>
      <w:r>
        <w:rPr>
          <w:rFonts w:ascii="方正仿宋_GBK" w:eastAsia="方正仿宋_GBK" w:hint="eastAsia"/>
          <w:color w:val="auto"/>
          <w:sz w:val="28"/>
          <w:szCs w:val="28"/>
        </w:rPr>
        <w:t>年</w:t>
      </w:r>
      <w:r>
        <w:rPr>
          <w:rFonts w:ascii="方正仿宋_GBK" w:hint="eastAsia"/>
          <w:color w:val="auto"/>
          <w:sz w:val="28"/>
          <w:szCs w:val="28"/>
          <w:lang w:val="en-US" w:eastAsia="zh-CN"/>
        </w:rPr>
        <w:t>11</w:t>
      </w:r>
      <w:r>
        <w:rPr>
          <w:rFonts w:ascii="方正仿宋_GBK" w:eastAsia="方正仿宋_GBK" w:hint="eastAsia"/>
          <w:color w:val="auto"/>
          <w:sz w:val="28"/>
          <w:szCs w:val="28"/>
        </w:rPr>
        <w:t>月</w:t>
      </w:r>
      <w:r>
        <w:rPr>
          <w:rFonts w:ascii="方正仿宋_GBK" w:hint="eastAsia"/>
          <w:color w:val="auto"/>
          <w:sz w:val="28"/>
          <w:szCs w:val="28"/>
          <w:lang w:val="en-US" w:eastAsia="zh-CN"/>
        </w:rPr>
        <w:t>25</w:t>
      </w:r>
      <w:r>
        <w:rPr>
          <w:rFonts w:ascii="方正仿宋_GBK" w:eastAsia="方正仿宋_GBK" w:hint="eastAsia"/>
          <w:color w:val="auto"/>
          <w:sz w:val="28"/>
          <w:szCs w:val="28"/>
        </w:rPr>
        <w:t>日印发</w:t>
      </w:r>
    </w:p>
    <w:p>
      <w:pPr>
        <w:spacing w:line="240" w:lineRule="auto"/>
        <w:rPr>
          <w:color w:val="auto"/>
          <w:sz w:val="28"/>
          <w:szCs w:val="28"/>
        </w:rPr>
      </w:pPr>
      <w:bookmarkEnd w:id="3"/>
    </w:p>
    <w:sectPr>
      <w:footerReference w:type="default" r:id="rId2"/>
      <w:footerReference w:type="even" r:id="rId3"/>
      <w:pgSz w:w="11906" w:h="16838"/>
      <w:pgMar w:top="2098" w:right="1531" w:bottom="1984" w:left="1531" w:header="851" w:footer="1417" w:gutter="0"/>
      <w:docGrid w:type="linesAndChars" w:linePitch="579" w:charSpace="-84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86"/>
    <w:family w:val="auto"/>
    <w:pitch w:val="variable"/>
    <w:sig w:usb0="E0002AFF" w:usb1="C0007841" w:usb2="00000009" w:usb3="00000000" w:csb0="400001FF" w:csb1="FFFF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jc w:val="right"/>
      <w:rPr>
        <w:rFonts w:eastAsia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298" distR="114298" simplePos="0" relativeHeight="10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251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300" cy="230251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7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3" o:spid="_x0000_s3" filled="f" stroked="f" style="position:absolute;margin-left:0.0pt;margin-top:0.0pt;width:49.000004pt;height:18.130003pt;z-index:10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7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separate"/>
    </w:r>
    <w:r>
      <w:rPr>
        <w:rFonts w:eastAsia="Times New Roman"/>
        <w:sz w:val="18"/>
      </w:rPr>
      <w:fldChar w:fldCharType="end"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oNotDisplayPageBoundaries/>
  <w:bordersDoNotSurroundHeader w:val="0"/>
  <w:bordersDoNotSurroundFooter w:val="0"/>
  <w:trackRevisions/>
  <w:defaultTabStop w:val="425"/>
  <w:drawingGridHorizontalSpacing w:val="158"/>
  <w:drawingGridVerticalSpacing w:val="290"/>
  <w:displayHorizontalDrawingGridEvery w:val="1"/>
  <w:displayVerticalDrawingGridEvery w:val="1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ulTrailSpace/>
    <w:doNotExpandShiftReturn/>
    <w:growAutofit/>
    <w:doNotUseIndentAsNumberingTabStop/>
    <w:useAltKinsokuLineBreakRules/>
    <w:splitPgBreakAndParaMark/>
    <w:compatSetting w:name="compatibilityMode" w:uri="http://schemas.microsoft.com/office/word" w:val="14"/>
  </w:compat>
  <w:docVars>
    <w:docVars w:name="commondata" w:val="eyJoZGlkIjoiNGVjODIzZDc3YmU5Zjg1ZDg1NzA1MDQxYWNkZjZlZDA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6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方正仿宋_GBK" w:cs="Times New Roman" w:hAnsi="Times New Roman"/>
      <w:sz w:val="32"/>
      <w:szCs w:val="32"/>
      <w:lang w:val="en-US" w:eastAsia="zh-CN" w:bidi="ar-SA"/>
    </w:rPr>
  </w:style>
  <w:style w:type="character" w:default="1" w:styleId="10">
    <w:name w:val="Default Paragraph Font"/>
  </w:style>
  <w:style w:type="paragraph" w:styleId="15">
    <w:name w:val="Body Text Indent"/>
    <w:basedOn w:val="0"/>
    <w:pPr>
      <w:spacing w:after="120"/>
      <w:ind w:leftChars="200" w:left="200"/>
    </w:pPr>
  </w:style>
  <w:style w:type="paragraph" w:styleId="16">
    <w:name w:val="Body Text First Indent 2"/>
    <w:basedOn w:val="15"/>
    <w:next w:val="17"/>
    <w:pPr>
      <w:widowControl w:val="0"/>
      <w:spacing w:after="120" w:afterAutospacing="0"/>
      <w:ind w:firstLine="420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styleId="17">
    <w:name w:val="footer"/>
    <w:basedOn w:val="0"/>
    <w:next w:val="0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</w:pPr>
    <w:rPr>
      <w:sz w:val="18"/>
      <w:szCs w:val="18"/>
    </w:rPr>
  </w:style>
  <w:style w:type="paragraph" w:styleId="18">
    <w:name w:val="Balloon Text"/>
    <w:basedOn w:val="0"/>
    <w:rPr>
      <w:sz w:val="18"/>
      <w:szCs w:val="18"/>
    </w:rPr>
  </w:style>
  <w:style w:type="paragraph" w:styleId="19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sz w:val="18"/>
      <w:szCs w:val="18"/>
    </w:rPr>
  </w:style>
  <w:style w:type="character" w:styleId="20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77</TotalTime>
  <Application>Yozo_Office</Application>
  <Pages>3</Pages>
  <Words>731</Words>
  <Characters>806</Characters>
  <Lines>63</Lines>
  <Paragraphs>19</Paragraphs>
  <CharactersWithSpaces>844</CharactersWithSpaces>
  <Company>jw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批复文件</dc:title>
  <dc:creator>jw</dc:creator>
  <cp:lastModifiedBy>Microsoft</cp:lastModifiedBy>
  <cp:revision>0</cp:revision>
  <cp:lastPrinted>2025-11-24T08:51:25Z</cp:lastPrinted>
  <dcterms:created xsi:type="dcterms:W3CDTF">2025-08-06T17:08:00Z</dcterms:created>
  <dcterms:modified xsi:type="dcterms:W3CDTF">2025-11-27T07:04:27Z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ICV">
    <vt:lpwstr>0E408FA1C87F45E0873AEC4E4735B34B</vt:lpwstr>
  </property>
  <property fmtid="{D5CDD505-2E9C-101B-9397-08002B2CF9AE}" pid="3" name="KSOProductBuildVer">
    <vt:lpwstr>2052-11.1.0.13703</vt:lpwstr>
  </property>
  <property fmtid="{D5CDD505-2E9C-101B-9397-08002B2CF9AE}" pid="4" name="KSOTemplateDocerSaveRecord">
    <vt:lpwstr>eyJoZGlkIjoiMjViODE3N2ZhNWY1ZjA5YmVmMzViYWZhNjNmNjA4ZTIiLCJ1c2VySWQiOiI1MDcyMjY1NjEifQ==</vt:lpwstr>
  </property>
</Properties>
</file>