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overflowPunct w:val="0"/>
        <w:adjustRightInd/>
        <w:spacing w:line="240" w:lineRule="auto"/>
        <w:rPr>
          <w:rFonts w:ascii="方正仿宋_GBK" w:cs="方正仿宋_GBK"/>
          <w:bCs/>
        </w:rPr>
      </w:pPr>
      <w:bookmarkStart w:id="0" w:name="_GoBack"/>
      <w:bookmarkEnd w:id="0"/>
    </w:p>
    <w:p>
      <w:pPr>
        <w:overflowPunct w:val="0"/>
        <w:adjustRightInd/>
        <w:spacing w:line="240" w:lineRule="auto"/>
        <w:rPr>
          <w:rFonts w:ascii="方正仿宋_GBK" w:cs="方正仿宋_GBK"/>
          <w:bCs/>
        </w:rPr>
      </w:pPr>
    </w:p>
    <w:p>
      <w:pPr>
        <w:overflowPunct w:val="0"/>
        <w:adjustRightInd/>
        <w:spacing w:line="240" w:lineRule="auto"/>
        <w:rPr>
          <w:rFonts w:ascii="方正仿宋_GBK" w:cs="方正仿宋_GBK"/>
          <w:bCs/>
        </w:rPr>
      </w:pPr>
    </w:p>
    <w:p>
      <w:pPr>
        <w:overflowPunct w:val="0"/>
        <w:adjustRightInd/>
        <w:spacing w:line="240" w:lineRule="auto"/>
        <w:rPr>
          <w:bCs/>
        </w:rPr>
      </w:pPr>
    </w:p>
    <w:p>
      <w:pPr>
        <w:overflowPunct w:val="0"/>
        <w:adjustRightInd/>
        <w:spacing w:line="240" w:lineRule="auto"/>
        <w:rPr>
          <w:bCs/>
        </w:rPr>
      </w:pPr>
    </w:p>
    <w:p>
      <w:pPr>
        <w:overflowPunct w:val="0"/>
        <w:adjustRightInd/>
        <w:spacing w:line="240" w:lineRule="auto"/>
        <w:jc w:val="center"/>
        <w:rPr>
          <w:rFonts w:eastAsia="宋体"/>
          <w:kern w:val="2"/>
        </w:rPr>
      </w:pPr>
    </w:p>
    <w:p>
      <w:pPr>
        <w:adjustRightInd/>
        <w:spacing w:line="240" w:lineRule="auto"/>
        <w:jc w:val="both"/>
        <w:rPr>
          <w:i/>
          <w:iCs/>
        </w:rPr>
      </w:pPr>
    </w:p>
    <w:p>
      <w:pPr>
        <w:adjustRightInd/>
        <w:spacing w:line="240" w:lineRule="auto"/>
        <w:jc w:val="center"/>
        <w:rPr>
          <w:rFonts w:eastAsia="宋体"/>
          <w:bCs/>
          <w:iCs/>
          <w:color w:val="auto"/>
        </w:rPr>
      </w:pPr>
      <w:bookmarkStart w:id="1" w:name="approveNum"/>
      <w:r>
        <w:rPr>
          <w:rFonts w:hint="eastAsia"/>
          <w:iCs/>
          <w:color w:val="auto"/>
        </w:rPr>
        <w:t>津发改审</w:t>
      </w:r>
      <w:r>
        <w:rPr>
          <w:rFonts w:ascii="方正仿宋_GBK" w:cs="方正仿宋_GBK"/>
          <w:color w:val="auto"/>
        </w:rPr>
        <w:t>〔</w:t>
      </w:r>
      <w:r>
        <w:rPr>
          <w:rFonts w:ascii="方正仿宋_GBK" w:cs="方正仿宋_GBK" w:hint="eastAsia"/>
          <w:color w:val="auto"/>
        </w:rPr>
        <w:t>2025</w:t>
      </w:r>
      <w:r>
        <w:rPr>
          <w:rFonts w:ascii="方正仿宋_GBK" w:cs="方正仿宋_GBK"/>
          <w:color w:val="auto"/>
        </w:rPr>
        <w:t>〕</w:t>
      </w:r>
      <w:r>
        <w:rPr>
          <w:rFonts w:ascii="方正仿宋_GBK" w:cs="方正仿宋_GBK" w:hint="eastAsia"/>
          <w:color w:val="auto"/>
          <w:lang w:val="en-US" w:eastAsia="zh-CN"/>
        </w:rPr>
        <w:t>304</w:t>
      </w:r>
      <w:r>
        <w:rPr>
          <w:rFonts w:ascii="方正仿宋_GBK" w:cs="方正仿宋_GBK"/>
          <w:color w:val="auto"/>
        </w:rPr>
        <w:t>号</w:t>
      </w:r>
      <w:bookmarkEnd w:id="1"/>
    </w:p>
    <w:p>
      <w:pPr>
        <w:spacing w:line="240" w:lineRule="auto"/>
        <w:jc w:val="center"/>
        <w:rPr>
          <w:bCs/>
          <w:color w:val="auto"/>
        </w:rPr>
      </w:pPr>
    </w:p>
    <w:p>
      <w:pPr>
        <w:overflowPunct w:val="0"/>
        <w:adjustRightInd/>
        <w:spacing w:line="580" w:lineRule="exact"/>
        <w:jc w:val="center"/>
        <w:textAlignment w:val="auto"/>
        <w:rPr>
          <w:rFonts w:eastAsia="方正小标宋_GBK"/>
          <w:color w:val="auto"/>
          <w:kern w:val="2"/>
          <w:sz w:val="44"/>
          <w:szCs w:val="44"/>
        </w:rPr>
      </w:pPr>
    </w:p>
    <w:p>
      <w:pPr>
        <w:overflowPunct w:val="0"/>
        <w:adjustRightInd/>
        <w:spacing w:line="580" w:lineRule="exact"/>
        <w:jc w:val="center"/>
        <w:textAlignment w:val="auto"/>
        <w:rPr>
          <w:rFonts w:eastAsia="方正小标宋_GBK"/>
          <w:color w:val="auto"/>
          <w:kern w:val="2"/>
          <w:sz w:val="44"/>
          <w:szCs w:val="44"/>
        </w:rPr>
      </w:pPr>
      <w:bookmarkStart w:id="2" w:name="approveUnit"/>
      <w:r>
        <w:rPr>
          <w:rFonts w:eastAsia="方正小标宋_GBK"/>
          <w:color w:val="auto"/>
          <w:kern w:val="2"/>
          <w:sz w:val="44"/>
          <w:szCs w:val="44"/>
        </w:rPr>
        <w:t>重庆市江津区发展和改革委员会</w:t>
      </w:r>
      <w:bookmarkEnd w:id="2"/>
    </w:p>
    <w:p>
      <w:pPr>
        <w:overflowPunct w:val="0"/>
        <w:adjustRightInd/>
        <w:spacing w:line="580" w:lineRule="exact"/>
        <w:jc w:val="center"/>
        <w:textAlignment w:val="auto"/>
        <w:rPr>
          <w:rFonts w:eastAsia="方正小标宋_GBK"/>
          <w:color w:val="auto"/>
          <w:kern w:val="2"/>
          <w:sz w:val="44"/>
          <w:szCs w:val="44"/>
        </w:rPr>
      </w:pPr>
      <w:r>
        <w:rPr>
          <w:rFonts w:eastAsia="方正小标宋_GBK"/>
          <w:color w:val="auto"/>
          <w:kern w:val="2"/>
          <w:sz w:val="44"/>
          <w:szCs w:val="44"/>
        </w:rPr>
        <w:t>关于四屏镇凤屏路道路隐患治理工程项目</w:t>
      </w:r>
    </w:p>
    <w:p>
      <w:pPr>
        <w:overflowPunct w:val="0"/>
        <w:adjustRightInd/>
        <w:spacing w:line="580" w:lineRule="exact"/>
        <w:jc w:val="center"/>
        <w:textAlignment w:val="auto"/>
        <w:rPr>
          <w:rFonts w:eastAsia="方正小标宋_GBK"/>
          <w:color w:val="auto"/>
          <w:kern w:val="2"/>
          <w:sz w:val="44"/>
          <w:szCs w:val="44"/>
        </w:rPr>
      </w:pPr>
      <w:r>
        <w:rPr>
          <w:rFonts w:eastAsia="方正小标宋_GBK"/>
          <w:color w:val="auto"/>
          <w:kern w:val="2"/>
          <w:sz w:val="44"/>
          <w:szCs w:val="44"/>
        </w:rPr>
        <w:t>可研</w:t>
      </w:r>
      <w:r>
        <w:rPr>
          <w:rFonts w:eastAsia="方正小标宋_GBK"/>
          <w:color w:val="auto"/>
          <w:kern w:val="2"/>
          <w:sz w:val="44"/>
          <w:szCs w:val="44"/>
        </w:rPr>
        <w:t>的批复</w:t>
      </w:r>
    </w:p>
    <w:p>
      <w:pPr>
        <w:overflowPunct w:val="0"/>
        <w:adjustRightInd/>
        <w:spacing w:line="560" w:lineRule="exact"/>
        <w:textAlignment w:val="auto"/>
        <w:rPr>
          <w:color w:val="auto"/>
          <w:kern w:val="2"/>
        </w:rPr>
      </w:pPr>
    </w:p>
    <w:p>
      <w:pPr>
        <w:overflowPunct w:val="0"/>
        <w:adjustRightInd/>
        <w:spacing w:line="560" w:lineRule="exact"/>
        <w:textAlignment w:val="auto"/>
        <w:rPr>
          <w:color w:val="auto"/>
          <w:kern w:val="2"/>
        </w:rPr>
      </w:pPr>
      <w:r>
        <w:rPr>
          <w:color w:val="auto"/>
          <w:kern w:val="2"/>
        </w:rPr>
        <w:t>重庆市江津区四屏镇人民政府：</w:t>
      </w:r>
    </w:p>
    <w:p>
      <w:pPr>
        <w:keepNext w:val="0"/>
        <w:keepLines w:val="0"/>
        <w:widowControl w:val="0"/>
        <w:suppressLineNumbers w:val="0"/>
        <w:overflowPunct/>
        <w:adjustRightInd/>
        <w:spacing w:before="0" w:beforeAutospacing="0" w:after="0" w:afterAutospacing="0" w:line="560" w:lineRule="exact"/>
        <w:ind w:left="0" w:right="0" w:firstLineChars="200" w:firstLine="632"/>
        <w:jc w:val="both"/>
        <w:textAlignment w:val="auto"/>
        <w:rPr>
          <w:rFonts w:ascii="方正仿宋_GBK" w:cs="方正仿宋_GBK"/>
          <w:color w:val="auto"/>
          <w:kern w:val="2"/>
        </w:rPr>
      </w:pPr>
      <w:r>
        <w:rPr>
          <w:rFonts w:hint="eastAsia"/>
          <w:color w:val="auto"/>
          <w:kern w:val="2"/>
        </w:rPr>
        <w:t>你</w:t>
      </w:r>
      <w:r>
        <w:rPr>
          <w:rFonts w:hint="eastAsia"/>
          <w:color w:val="auto"/>
          <w:kern w:val="2"/>
          <w:lang w:eastAsia="zh-CN"/>
        </w:rPr>
        <w:t>镇报</w:t>
      </w:r>
      <w:r>
        <w:rPr>
          <w:rFonts w:ascii="方正仿宋_GBK" w:cs="方正仿宋_GBK"/>
          <w:color w:val="auto"/>
          <w:kern w:val="2"/>
          <w:lang w:eastAsia="zh-CN"/>
        </w:rPr>
        <w:t>来</w:t>
      </w:r>
      <w:r>
        <w:rPr>
          <w:rFonts w:ascii="方正仿宋_GBK" w:eastAsia="方正仿宋_GBK" w:cs="方正仿宋_GBK"/>
          <w:color w:val="auto"/>
          <w:kern w:val="2"/>
          <w:sz w:val="32"/>
          <w:szCs w:val="32"/>
          <w:lang w:val="en-US" w:eastAsia="zh-CN"/>
        </w:rPr>
        <w:t>《关于申请</w:t>
      </w:r>
      <w:r>
        <w:rPr>
          <w:rFonts w:ascii="方正仿宋_GBK" w:cs="方正仿宋_GBK"/>
          <w:i w:val="0"/>
          <w:iCs w:val="0"/>
          <w:caps w:val="0"/>
          <w:smallCaps w:val="0"/>
          <w:color w:val="auto"/>
          <w:spacing w:val="0"/>
          <w:kern w:val="2"/>
          <w:sz w:val="32"/>
          <w:szCs w:val="32"/>
          <w:shd w:val="clear" w:color="auto" w:fill="auto"/>
          <w:lang w:eastAsia="zh-CN"/>
        </w:rPr>
        <w:t>审批四屏镇凤屏路道路隐患治理工程项目</w:t>
      </w:r>
      <w:r>
        <w:rPr>
          <w:rFonts w:ascii="方正仿宋_GBK" w:cs="方正仿宋_GBK"/>
          <w:color w:val="auto"/>
          <w:kern w:val="2"/>
          <w:sz w:val="32"/>
          <w:szCs w:val="32"/>
          <w:lang w:val="en-US" w:eastAsia="zh-CN"/>
        </w:rPr>
        <w:t>可研</w:t>
      </w:r>
      <w:r>
        <w:rPr>
          <w:rFonts w:ascii="方正仿宋_GBK" w:eastAsia="方正仿宋_GBK" w:cs="方正仿宋_GBK"/>
          <w:color w:val="auto"/>
          <w:kern w:val="2"/>
          <w:sz w:val="32"/>
          <w:szCs w:val="32"/>
          <w:lang w:val="en-US" w:eastAsia="zh-CN"/>
        </w:rPr>
        <w:t>的函》（</w:t>
      </w:r>
      <w:r>
        <w:rPr>
          <w:rFonts w:ascii="方正仿宋_GBK" w:cs="方正仿宋_GBK" w:hint="eastAsia"/>
          <w:color w:val="auto"/>
          <w:kern w:val="2"/>
          <w:sz w:val="32"/>
          <w:szCs w:val="32"/>
          <w:lang w:val="en-US" w:eastAsia="zh-CN"/>
        </w:rPr>
        <w:t>四屏府函</w:t>
      </w:r>
      <w:r>
        <w:rPr>
          <w:rFonts w:ascii="方正仿宋_GBK" w:eastAsia="方正仿宋_GBK" w:cs="方正仿宋_GBK"/>
          <w:color w:val="auto"/>
          <w:kern w:val="2"/>
          <w:sz w:val="32"/>
          <w:szCs w:val="32"/>
          <w:lang w:val="en-US" w:eastAsia="zh-CN"/>
        </w:rPr>
        <w:t>〔2025〕</w:t>
      </w:r>
      <w:r>
        <w:rPr>
          <w:rFonts w:ascii="方正仿宋_GBK" w:cs="方正仿宋_GBK" w:hint="eastAsia"/>
          <w:color w:val="auto"/>
          <w:kern w:val="2"/>
          <w:sz w:val="32"/>
          <w:szCs w:val="32"/>
          <w:lang w:val="en-US" w:eastAsia="zh-CN"/>
        </w:rPr>
        <w:t>139</w:t>
      </w:r>
      <w:r>
        <w:rPr>
          <w:rFonts w:ascii="方正仿宋_GBK" w:eastAsia="方正仿宋_GBK" w:cs="方正仿宋_GBK"/>
          <w:color w:val="auto"/>
          <w:kern w:val="2"/>
          <w:sz w:val="32"/>
          <w:szCs w:val="32"/>
          <w:lang w:val="en-US" w:eastAsia="zh-CN"/>
        </w:rPr>
        <w:t>号)及</w:t>
      </w:r>
      <w:r>
        <w:rPr>
          <w:rFonts w:ascii="方正仿宋_GBK" w:eastAsia="方正仿宋_GBK" w:cs="方正仿宋_GBK" w:hint="eastAsia"/>
          <w:color w:val="auto"/>
          <w:kern w:val="2"/>
          <w:sz w:val="32"/>
          <w:szCs w:val="32"/>
          <w:lang w:val="en-US" w:eastAsia="zh-CN"/>
        </w:rPr>
        <w:t>相关附件资料</w:t>
      </w:r>
      <w:r>
        <w:rPr>
          <w:rFonts w:ascii="方正仿宋_GBK" w:cs="方正仿宋_GBK"/>
          <w:color w:val="auto"/>
          <w:kern w:val="2"/>
        </w:rPr>
        <w:t>收悉。</w:t>
      </w:r>
      <w:r>
        <w:rPr>
          <w:rFonts w:ascii="方正仿宋_GBK" w:cs="方正仿宋_GBK"/>
          <w:color w:val="auto"/>
          <w:kern w:val="2"/>
          <w:lang w:eastAsia="zh-CN"/>
        </w:rPr>
        <w:t>根据政府投资管理相关规定</w:t>
      </w:r>
      <w:r>
        <w:rPr>
          <w:rFonts w:ascii="方正仿宋_GBK" w:cs="方正仿宋_GBK"/>
          <w:color w:val="auto"/>
          <w:kern w:val="2"/>
        </w:rPr>
        <w:t>，</w:t>
      </w:r>
      <w:r>
        <w:rPr>
          <w:rFonts w:ascii="方正仿宋_GBK" w:cs="方正仿宋_GBK"/>
          <w:color w:val="auto"/>
          <w:kern w:val="2"/>
        </w:rPr>
        <w:t>经研究，</w:t>
      </w:r>
      <w:r>
        <w:rPr>
          <w:rFonts w:ascii="方正仿宋_GBK" w:eastAsia="方正仿宋_GBK" w:cs="方正仿宋_GBK"/>
          <w:color w:val="auto"/>
          <w:kern w:val="2"/>
          <w:sz w:val="32"/>
          <w:szCs w:val="32"/>
          <w:lang w:val="en-US" w:eastAsia="zh-CN"/>
        </w:rPr>
        <w:t>现就有关事宜批复如下：</w:t>
      </w:r>
    </w:p>
    <w:p>
      <w:pPr>
        <w:widowControl/>
        <w:overflowPunct/>
        <w:adjustRightInd/>
        <w:spacing w:line="560" w:lineRule="exact"/>
        <w:ind w:firstLineChars="200" w:firstLine="632"/>
        <w:jc w:val="left"/>
        <w:textAlignment w:val="auto"/>
        <w:rPr>
          <w:color w:val="auto"/>
          <w:kern w:val="2"/>
        </w:rPr>
      </w:pPr>
      <w:r>
        <w:rPr>
          <w:rFonts w:hint="eastAsia"/>
          <w:color w:val="auto"/>
          <w:kern w:val="2"/>
        </w:rPr>
        <w:t>一、</w:t>
      </w:r>
      <w:r>
        <w:rPr>
          <w:rFonts w:ascii="方正仿宋_GBK" w:cs="方正仿宋_GBK"/>
          <w:iCs w:val="0"/>
          <w:color w:val="auto"/>
          <w:kern w:val="2"/>
          <w:lang w:eastAsia="zh-CN"/>
        </w:rPr>
        <w:t>为</w:t>
      </w:r>
      <w:r>
        <w:rPr>
          <w:rFonts w:ascii="方正仿宋_GBK" w:cs="方正仿宋_GBK" w:hint="eastAsia"/>
          <w:iCs w:val="0"/>
          <w:color w:val="auto"/>
          <w:kern w:val="2"/>
          <w:lang w:eastAsia="zh-CN"/>
        </w:rPr>
        <w:t>解决四屏镇周边群众出行安全和大四面山环线游客旅行安全问题</w:t>
      </w:r>
      <w:r>
        <w:rPr>
          <w:rFonts w:ascii="方正仿宋_GBK" w:cs="方正仿宋_GBK" w:hint="eastAsia"/>
          <w:color w:val="auto"/>
          <w:kern w:val="2"/>
          <w:sz w:val="32"/>
          <w:szCs w:val="32"/>
          <w:lang w:val="en-US" w:eastAsia="zh-CN"/>
        </w:rPr>
        <w:t>，</w:t>
      </w:r>
      <w:r>
        <w:rPr>
          <w:rFonts w:ascii="方正仿宋_GBK" w:cs="方正仿宋_GBK"/>
          <w:color w:val="auto"/>
          <w:kern w:val="2"/>
        </w:rPr>
        <w:t>同意实施该</w:t>
      </w:r>
      <w:r>
        <w:rPr>
          <w:rFonts w:hint="eastAsia"/>
          <w:color w:val="auto"/>
          <w:kern w:val="2"/>
        </w:rPr>
        <w:t>项目。</w:t>
      </w:r>
    </w:p>
    <w:p>
      <w:pPr>
        <w:widowControl/>
        <w:overflowPunct/>
        <w:adjustRightInd/>
        <w:spacing w:line="560" w:lineRule="exact"/>
        <w:ind w:firstLineChars="200" w:firstLine="632"/>
        <w:jc w:val="left"/>
        <w:textAlignment w:val="auto"/>
        <w:rPr>
          <w:rFonts w:ascii="方正仿宋_GBK" w:cs="方正仿宋_GBK" w:hint="eastAsia"/>
          <w:color w:val="auto"/>
          <w:kern w:val="2"/>
        </w:rPr>
      </w:pPr>
      <w:r>
        <w:rPr>
          <w:rFonts w:hint="eastAsia"/>
          <w:color w:val="auto"/>
          <w:kern w:val="32"/>
        </w:rPr>
        <w:t>二、项目代</w:t>
      </w:r>
      <w:r>
        <w:rPr>
          <w:color w:val="auto"/>
          <w:kern w:val="32"/>
        </w:rPr>
        <w:t>码</w:t>
      </w:r>
      <w:r>
        <w:rPr>
          <w:rFonts w:ascii="方正仿宋_GBK" w:cs="方正仿宋_GBK" w:hint="eastAsia"/>
          <w:color w:val="auto"/>
          <w:kern w:val="2"/>
        </w:rPr>
        <w:t>：2511-500116-04-05-690317。</w:t>
      </w:r>
    </w:p>
    <w:p>
      <w:pPr>
        <w:widowControl/>
        <w:overflowPunct/>
        <w:adjustRightInd/>
        <w:spacing w:line="560" w:lineRule="exact"/>
        <w:ind w:firstLineChars="200" w:firstLine="632"/>
        <w:jc w:val="left"/>
        <w:textAlignment w:val="auto"/>
        <w:rPr>
          <w:rFonts w:ascii="方正仿宋_GBK" w:cs="方正仿宋_GBK" w:hint="eastAsia"/>
          <w:color w:val="auto"/>
          <w:kern w:val="2"/>
        </w:rPr>
      </w:pPr>
      <w:r>
        <w:rPr>
          <w:rFonts w:ascii="方正仿宋_GBK" w:cs="方正仿宋_GBK" w:hint="eastAsia"/>
          <w:color w:val="auto"/>
          <w:kern w:val="2"/>
        </w:rPr>
        <w:t>三、项目法人：</w:t>
      </w:r>
      <w:r>
        <w:rPr>
          <w:color w:val="auto"/>
          <w:kern w:val="2"/>
        </w:rPr>
        <w:t>重庆市江津区四屏镇人民政府</w:t>
      </w:r>
      <w:r>
        <w:rPr>
          <w:rFonts w:ascii="方正仿宋_GBK" w:cs="方正仿宋_GBK" w:hint="eastAsia"/>
          <w:color w:val="auto"/>
          <w:kern w:val="2"/>
        </w:rPr>
        <w:t>。</w:t>
      </w:r>
    </w:p>
    <w:p>
      <w:pPr>
        <w:overflowPunct w:val="0"/>
        <w:adjustRightInd/>
        <w:spacing w:line="560" w:lineRule="exact"/>
        <w:ind w:firstLineChars="200" w:firstLine="632"/>
        <w:textAlignment w:val="auto"/>
        <w:rPr>
          <w:rFonts w:ascii="方正仿宋_GBK" w:cs="方正仿宋_GBK" w:hint="eastAsia"/>
          <w:color w:val="auto"/>
          <w:kern w:val="2"/>
        </w:rPr>
      </w:pPr>
      <w:r>
        <w:rPr>
          <w:rFonts w:hint="eastAsia"/>
          <w:color w:val="auto"/>
          <w:kern w:val="32"/>
        </w:rPr>
        <w:t>四、项目建设地点</w:t>
      </w:r>
      <w:r>
        <w:rPr>
          <w:rFonts w:ascii="方正仿宋_GBK" w:cs="方正仿宋_GBK" w:hint="eastAsia"/>
          <w:color w:val="auto"/>
          <w:kern w:val="2"/>
        </w:rPr>
        <w:t>：重庆市江津区四屏镇凤屏路。</w:t>
      </w:r>
    </w:p>
    <w:p>
      <w:pPr>
        <w:overflowPunct w:val="0"/>
        <w:adjustRightInd/>
        <w:spacing w:line="560" w:lineRule="exact"/>
        <w:ind w:firstLineChars="200" w:firstLine="632"/>
        <w:textAlignment w:val="auto"/>
        <w:rPr>
          <w:rFonts w:hint="eastAsia"/>
          <w:color w:val="auto"/>
          <w:kern w:val="2"/>
        </w:rPr>
      </w:pPr>
      <w:r>
        <w:rPr>
          <w:color w:val="auto"/>
          <w:kern w:val="32"/>
        </w:rPr>
        <w:t>五、</w:t>
      </w:r>
      <w:r>
        <w:rPr>
          <w:color w:val="auto"/>
        </w:rPr>
        <w:t>建设规模、标准及主要建设内容</w:t>
      </w:r>
      <w:r>
        <w:rPr>
          <w:rFonts w:hint="eastAsia"/>
          <w:color w:val="auto"/>
          <w:kern w:val="2"/>
        </w:rPr>
        <w:t>：</w:t>
      </w:r>
    </w:p>
    <w:p>
      <w:pPr>
        <w:overflowPunct w:val="0"/>
        <w:adjustRightInd/>
        <w:spacing w:line="560" w:lineRule="exact"/>
        <w:ind w:firstLineChars="200" w:firstLine="632"/>
        <w:textAlignment w:val="auto"/>
        <w:rPr>
          <w:color w:val="auto"/>
        </w:rPr>
      </w:pPr>
      <w:r>
        <w:rPr>
          <w:color w:val="auto"/>
        </w:rPr>
        <w:t>对凤屏路沿线约16处风化边坡进行整治，整治方式为边坡清坡，边沟疏通后，新建C25砼格构梁，12cm厚C25砼喷射混凝土，坡顶新建C25砼排水沟引走排水等。</w:t>
      </w:r>
    </w:p>
    <w:p>
      <w:pPr>
        <w:overflowPunct w:val="0"/>
        <w:adjustRightInd/>
        <w:spacing w:line="560" w:lineRule="exact"/>
        <w:ind w:firstLineChars="200" w:firstLine="632"/>
        <w:textAlignment w:val="auto"/>
        <w:rPr>
          <w:color w:val="auto"/>
        </w:rPr>
      </w:pPr>
      <w:r>
        <w:rPr>
          <w:color w:val="auto"/>
        </w:rPr>
        <w:t>六、</w:t>
      </w:r>
      <w:r>
        <w:rPr>
          <w:rFonts w:hint="eastAsia"/>
          <w:color w:val="auto"/>
          <w:kern w:val="2"/>
        </w:rPr>
        <w:t>投资估算及资金来源：</w:t>
      </w:r>
      <w:r>
        <w:rPr>
          <w:color w:val="auto"/>
        </w:rPr>
        <w:t>总投资</w:t>
      </w:r>
      <w:r>
        <w:rPr>
          <w:rFonts w:hint="eastAsia"/>
          <w:color w:val="auto"/>
          <w:lang w:val="en-US" w:eastAsia="zh-CN"/>
        </w:rPr>
        <w:t>399.54</w:t>
      </w:r>
      <w:r>
        <w:rPr>
          <w:color w:val="auto"/>
        </w:rPr>
        <w:t>万元，其中</w:t>
      </w:r>
      <w:r>
        <w:rPr>
          <w:rFonts w:hint="eastAsia"/>
          <w:color w:val="auto"/>
          <w:lang w:eastAsia="zh-CN"/>
        </w:rPr>
        <w:t>工程费用</w:t>
      </w:r>
      <w:r>
        <w:rPr>
          <w:rFonts w:hint="eastAsia"/>
          <w:color w:val="auto"/>
          <w:lang w:val="en-US" w:eastAsia="zh-CN"/>
        </w:rPr>
        <w:t>356.04</w:t>
      </w:r>
      <w:r>
        <w:rPr>
          <w:color w:val="auto"/>
        </w:rPr>
        <w:t>万元，工程建设其他费</w:t>
      </w:r>
      <w:r>
        <w:rPr>
          <w:rFonts w:hint="eastAsia"/>
          <w:color w:val="auto"/>
          <w:lang w:val="en-US" w:eastAsia="zh-CN"/>
        </w:rPr>
        <w:t>24.47</w:t>
      </w:r>
      <w:r>
        <w:rPr>
          <w:color w:val="auto"/>
        </w:rPr>
        <w:t>万元，</w:t>
      </w:r>
      <w:r>
        <w:rPr>
          <w:rFonts w:hint="eastAsia"/>
          <w:color w:val="auto"/>
        </w:rPr>
        <w:t>基本</w:t>
      </w:r>
      <w:r>
        <w:rPr>
          <w:color w:val="auto"/>
        </w:rPr>
        <w:t>预备费</w:t>
      </w:r>
      <w:r>
        <w:rPr>
          <w:rFonts w:hint="eastAsia"/>
          <w:color w:val="auto"/>
          <w:lang w:val="en-US" w:eastAsia="zh-CN"/>
        </w:rPr>
        <w:t>19.03</w:t>
      </w:r>
      <w:r>
        <w:rPr>
          <w:color w:val="auto"/>
        </w:rPr>
        <w:t>万元。</w:t>
      </w:r>
      <w:r>
        <w:rPr>
          <w:rFonts w:hint="eastAsia"/>
          <w:color w:val="auto"/>
          <w:kern w:val="2"/>
        </w:rPr>
        <w:t>资金来源为</w:t>
      </w:r>
      <w:r>
        <w:rPr>
          <w:rFonts w:hint="eastAsia"/>
          <w:color w:val="auto"/>
          <w:kern w:val="2"/>
          <w:lang w:val="en-US" w:eastAsia="zh-CN"/>
        </w:rPr>
        <w:t>争取上级补助资金及业主单位自筹</w:t>
      </w:r>
      <w:r>
        <w:rPr>
          <w:rFonts w:hint="eastAsia"/>
          <w:color w:val="auto"/>
          <w:kern w:val="2"/>
        </w:rPr>
        <w:t>。</w:t>
      </w:r>
    </w:p>
    <w:p>
      <w:pPr>
        <w:overflowPunct w:val="0"/>
        <w:adjustRightInd/>
        <w:spacing w:line="560" w:lineRule="exact"/>
        <w:jc w:val="center"/>
        <w:textAlignment w:val="auto"/>
        <w:rPr>
          <w:color w:val="auto"/>
        </w:rPr>
      </w:pPr>
      <w:r>
        <w:rPr>
          <w:color w:val="auto"/>
        </w:rPr>
        <w:t>七、建设工期：</w:t>
      </w:r>
      <w:r>
        <w:rPr>
          <w:rFonts w:hint="eastAsia"/>
          <w:color w:val="auto"/>
          <w:lang w:val="en-US" w:eastAsia="zh-CN"/>
        </w:rPr>
        <w:t>10</w:t>
      </w:r>
      <w:r>
        <w:rPr>
          <w:rFonts w:hint="eastAsia"/>
          <w:color w:val="auto"/>
        </w:rPr>
        <w:t>个月</w:t>
      </w:r>
      <w:r>
        <w:rPr>
          <w:color w:val="auto"/>
        </w:rPr>
        <w:t>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Chars="200" w:firstLine="632"/>
        <w:jc w:val="left"/>
        <w:rPr>
          <w:color w:val="auto"/>
        </w:rPr>
      </w:pPr>
      <w:r>
        <w:rPr>
          <w:color w:val="auto"/>
        </w:rPr>
        <w:t>八</w:t>
      </w:r>
      <w:r>
        <w:rPr>
          <w:rFonts w:cs="方正仿宋_GBK" w:hint="eastAsia"/>
          <w:color w:val="auto"/>
          <w:kern w:val="2"/>
        </w:rPr>
        <w:t>、</w:t>
      </w:r>
      <w:r>
        <w:rPr>
          <w:rFonts w:ascii="方正仿宋_GBK" w:eastAsia="方正仿宋_GBK" w:cs="方正仿宋_GBK"/>
          <w:color w:val="auto"/>
          <w:kern w:val="2"/>
          <w:sz w:val="32"/>
          <w:szCs w:val="32"/>
          <w:u w:val="none"/>
          <w:lang w:val="en-US" w:eastAsia="zh-CN"/>
        </w:rPr>
        <w:t>请你单位接文后，按照本</w:t>
      </w:r>
      <w:r>
        <w:rPr>
          <w:rFonts w:ascii="方正仿宋_GBK" w:eastAsia="方正仿宋_GBK" w:cs="方正仿宋_GBK" w:hint="eastAsia"/>
          <w:color w:val="auto"/>
          <w:kern w:val="2"/>
          <w:sz w:val="32"/>
          <w:szCs w:val="32"/>
          <w:u w:val="none"/>
          <w:lang w:val="en-US" w:eastAsia="zh-CN"/>
        </w:rPr>
        <w:t>次批复的建设内容、建设规模、建设标准和投资等开展后续工作，待项目资金落实后方可开工建设，严禁以任何形式违规举债新增政府隐性债务。建设过程中要实行项目法人责任制、招标投标制、工程监理制和合同管理制，切实加强工程管理，确保工程质量、投资、工期控制到位</w:t>
      </w:r>
      <w:r>
        <w:rPr>
          <w:rFonts w:ascii="方正仿宋_GBK" w:eastAsia="方正仿宋_GBK" w:cs="方正仿宋_GBK" w:hint="eastAsia"/>
          <w:bCs/>
          <w:color w:val="auto"/>
          <w:kern w:val="2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Chars="200" w:firstLine="632"/>
        <w:jc w:val="left"/>
        <w:rPr>
          <w:color w:val="auto"/>
        </w:rPr>
      </w:pPr>
      <w:r>
        <w:rPr>
          <w:rFonts w:ascii="方正仿宋_GBK" w:eastAsia="方正仿宋_GBK" w:cs="方正仿宋_GBK" w:hint="eastAsia"/>
          <w:bCs/>
          <w:color w:val="auto"/>
          <w:kern w:val="2"/>
          <w:sz w:val="32"/>
          <w:szCs w:val="32"/>
          <w:lang w:val="en-US" w:eastAsia="zh-CN"/>
        </w:rPr>
        <w:t xml:space="preserve"> </w:t>
      </w:r>
    </w:p>
    <w:p>
      <w:pPr>
        <w:overflowPunct w:val="0"/>
        <w:adjustRightInd/>
        <w:spacing w:line="580" w:lineRule="exact"/>
        <w:ind w:firstLineChars="200" w:firstLine="632"/>
        <w:textAlignment w:val="auto"/>
        <w:rPr>
          <w:rFonts w:cs="方正仿宋_GBK"/>
          <w:color w:val="auto"/>
          <w:kern w:val="2"/>
        </w:rPr>
      </w:pPr>
    </w:p>
    <w:p>
      <w:pPr>
        <w:pStyle w:val="16"/>
      </w:pPr>
    </w:p>
    <w:p>
      <w:pPr>
        <w:overflowPunct w:val="0"/>
        <w:adjustRightInd/>
        <w:spacing w:line="580" w:lineRule="exact"/>
        <w:ind w:firstLineChars="200" w:firstLine="632"/>
        <w:jc w:val="right"/>
        <w:textAlignment w:val="auto"/>
        <w:rPr>
          <w:color w:val="auto"/>
          <w:kern w:val="2"/>
        </w:rPr>
      </w:pPr>
      <w:bookmarkStart w:id="3" w:name="approveUnit1"/>
      <w:r>
        <w:rPr>
          <w:color w:val="auto"/>
          <w:kern w:val="2"/>
        </w:rPr>
        <w:t>重庆市江津区发展和改革委员会</w:t>
      </w:r>
    </w:p>
    <w:p>
      <w:pPr>
        <w:overflowPunct w:val="0"/>
        <w:adjustRightInd/>
        <w:spacing w:line="580" w:lineRule="exact"/>
        <w:ind w:firstLineChars="200" w:firstLine="632"/>
        <w:textAlignment w:val="auto"/>
        <w:rPr>
          <w:rFonts w:hint="eastAsia"/>
          <w:color w:val="auto"/>
          <w:kern w:val="2"/>
        </w:rPr>
      </w:pPr>
      <w:r>
        <w:rPr>
          <w:color w:val="auto"/>
          <w:kern w:val="2"/>
        </w:rPr>
        <w:t xml:space="preserve">                      </w:t>
      </w:r>
      <w:r>
        <w:rPr>
          <w:rFonts w:hint="eastAsia"/>
          <w:color w:val="auto"/>
          <w:kern w:val="2"/>
        </w:rPr>
        <w:t xml:space="preserve"> </w:t>
      </w:r>
      <w:r>
        <w:rPr>
          <w:color w:val="auto"/>
          <w:kern w:val="2"/>
        </w:rPr>
        <w:t xml:space="preserve"> </w:t>
      </w:r>
      <w:r>
        <w:rPr>
          <w:rFonts w:hint="eastAsia"/>
          <w:color w:val="auto"/>
          <w:kern w:val="2"/>
          <w:lang w:val="en-US" w:eastAsia="zh-CN"/>
        </w:rPr>
        <w:t xml:space="preserve">   </w:t>
      </w:r>
      <w:r>
        <w:rPr>
          <w:color w:val="auto"/>
          <w:kern w:val="2"/>
        </w:rPr>
        <w:t xml:space="preserve">   </w:t>
      </w:r>
      <w:r>
        <w:rPr>
          <w:rFonts w:hint="eastAsia"/>
          <w:color w:val="auto"/>
          <w:kern w:val="2"/>
        </w:rPr>
        <w:t>2025年</w:t>
      </w:r>
      <w:r>
        <w:rPr>
          <w:rFonts w:hint="eastAsia"/>
          <w:color w:val="auto"/>
          <w:kern w:val="2"/>
          <w:lang w:val="en-US" w:eastAsia="zh-CN"/>
        </w:rPr>
        <w:t>11</w:t>
      </w:r>
      <w:r>
        <w:rPr>
          <w:rFonts w:hint="eastAsia"/>
          <w:color w:val="auto"/>
          <w:kern w:val="2"/>
        </w:rPr>
        <w:t>月</w:t>
      </w:r>
      <w:r>
        <w:rPr>
          <w:rFonts w:hint="eastAsia"/>
          <w:color w:val="auto"/>
          <w:kern w:val="2"/>
          <w:lang w:val="en-US" w:eastAsia="zh-CN"/>
        </w:rPr>
        <w:t>20</w:t>
      </w:r>
      <w:r>
        <w:rPr>
          <w:rFonts w:hint="eastAsia"/>
          <w:color w:val="auto"/>
          <w:kern w:val="2"/>
        </w:rPr>
        <w:t xml:space="preserve">日  </w:t>
      </w:r>
    </w:p>
    <w:p>
      <w:pPr>
        <w:pBdr>
          <w:bottom w:val="single" w:sz="4" w:space="0" w:color="auto"/>
        </w:pBdr>
        <w:spacing w:line="500" w:lineRule="exact"/>
        <w:ind w:firstLineChars="1550" w:firstLine="4896"/>
        <w:rPr>
          <w:rFonts w:ascii="方正仿宋_GBK" w:eastAsia="方正仿宋_GBK" w:hint="eastAsia"/>
          <w:color w:val="auto"/>
          <w:sz w:val="32"/>
          <w:szCs w:val="32"/>
        </w:rPr>
      </w:pPr>
    </w:p>
    <w:p>
      <w:pPr>
        <w:tabs>
          <w:tab w:val="left" w:pos="7560"/>
        </w:tabs>
        <w:spacing w:line="500" w:lineRule="exact"/>
        <w:ind w:leftChars="132" w:left="1244" w:hangingChars="300" w:hanging="827"/>
        <w:rPr>
          <w:rFonts w:ascii="方正仿宋_GBK" w:eastAsia="方正仿宋_GBK" w:hint="eastAsia"/>
          <w:color w:val="auto"/>
          <w:sz w:val="28"/>
          <w:szCs w:val="28"/>
        </w:rPr>
      </w:pPr>
      <w:r>
        <w:rPr>
          <w:rFonts w:ascii="方正仿宋_GBK" w:eastAsia="方正仿宋_GBK" w:hint="eastAsia"/>
          <w:color w:val="auto"/>
          <w:sz w:val="28"/>
          <w:szCs w:val="28"/>
        </w:rPr>
        <w:t>抄送：</w:t>
      </w:r>
      <w:r>
        <w:rPr>
          <w:rFonts w:ascii="方正仿宋_GBK" w:hint="eastAsia"/>
          <w:color w:val="auto"/>
          <w:sz w:val="28"/>
          <w:szCs w:val="28"/>
          <w:lang w:eastAsia="zh-CN"/>
        </w:rPr>
        <w:t>江津区规资局，区交通运输委、</w:t>
      </w:r>
      <w:r>
        <w:rPr>
          <w:rFonts w:ascii="方正仿宋_GBK" w:eastAsia="方正仿宋_GBK" w:hint="eastAsia"/>
          <w:color w:val="auto"/>
          <w:sz w:val="28"/>
          <w:szCs w:val="28"/>
        </w:rPr>
        <w:t>区财政局、区审计局、区统计局</w:t>
      </w:r>
      <w:r>
        <w:rPr>
          <w:rFonts w:ascii="方正仿宋_GBK" w:eastAsia="方正仿宋_GBK" w:hint="eastAsia"/>
          <w:color w:val="auto"/>
          <w:spacing w:val="40"/>
          <w:sz w:val="28"/>
          <w:szCs w:val="28"/>
        </w:rPr>
        <w:t>。</w:t>
      </w:r>
    </w:p>
    <w:p>
      <w:pPr>
        <w:pBdr>
          <w:top w:val="single" w:sz="4" w:space="1" w:color="auto"/>
          <w:bottom w:val="single" w:sz="4" w:space="1" w:color="auto"/>
        </w:pBdr>
        <w:spacing w:line="500" w:lineRule="exact"/>
        <w:ind w:firstLineChars="100" w:firstLine="276"/>
        <w:rPr>
          <w:rFonts w:ascii="方正仿宋_GBK" w:eastAsia="方正仿宋_GBK" w:hint="eastAsia"/>
          <w:color w:val="auto"/>
          <w:sz w:val="28"/>
          <w:szCs w:val="28"/>
        </w:rPr>
      </w:pPr>
      <w:r>
        <w:rPr>
          <w:rFonts w:ascii="方正仿宋_GBK" w:eastAsia="方正仿宋_GBK" w:hint="eastAsia"/>
          <w:color w:val="auto"/>
          <w:sz w:val="28"/>
          <w:szCs w:val="28"/>
        </w:rPr>
        <w:t>重庆市江津区发展和改革委员会办公室     202</w:t>
      </w:r>
      <w:r>
        <w:rPr>
          <w:rFonts w:ascii="方正仿宋_GBK" w:eastAsia="方正仿宋_GBK" w:hint="eastAsia"/>
          <w:color w:val="auto"/>
          <w:sz w:val="28"/>
          <w:szCs w:val="28"/>
          <w:lang w:val="en-US" w:eastAsia="zh-CN"/>
        </w:rPr>
        <w:t>5</w:t>
      </w:r>
      <w:r>
        <w:rPr>
          <w:rFonts w:ascii="方正仿宋_GBK" w:eastAsia="方正仿宋_GBK" w:hint="eastAsia"/>
          <w:color w:val="auto"/>
          <w:sz w:val="28"/>
          <w:szCs w:val="28"/>
        </w:rPr>
        <w:t>年</w:t>
      </w:r>
      <w:r>
        <w:rPr>
          <w:rFonts w:ascii="方正仿宋_GBK" w:hint="eastAsia"/>
          <w:color w:val="auto"/>
          <w:sz w:val="28"/>
          <w:szCs w:val="28"/>
          <w:lang w:val="en-US" w:eastAsia="zh-CN"/>
        </w:rPr>
        <w:t>11</w:t>
      </w:r>
      <w:r>
        <w:rPr>
          <w:rFonts w:ascii="方正仿宋_GBK" w:eastAsia="方正仿宋_GBK" w:hint="eastAsia"/>
          <w:color w:val="auto"/>
          <w:sz w:val="28"/>
          <w:szCs w:val="28"/>
        </w:rPr>
        <w:t>月</w:t>
      </w:r>
      <w:r>
        <w:rPr>
          <w:rFonts w:ascii="方正仿宋_GBK" w:hint="eastAsia"/>
          <w:color w:val="auto"/>
          <w:sz w:val="28"/>
          <w:szCs w:val="28"/>
          <w:lang w:val="en-US" w:eastAsia="zh-CN"/>
        </w:rPr>
        <w:t>20</w:t>
      </w:r>
      <w:r>
        <w:rPr>
          <w:rFonts w:ascii="方正仿宋_GBK" w:eastAsia="方正仿宋_GBK" w:hint="eastAsia"/>
          <w:color w:val="auto"/>
          <w:sz w:val="28"/>
          <w:szCs w:val="28"/>
        </w:rPr>
        <w:t>日印发</w:t>
      </w:r>
    </w:p>
    <w:p>
      <w:pPr>
        <w:spacing w:line="240" w:lineRule="auto"/>
        <w:rPr>
          <w:color w:val="auto"/>
          <w:sz w:val="28"/>
          <w:szCs w:val="28"/>
        </w:rPr>
      </w:pPr>
      <w:bookmarkEnd w:id="3"/>
    </w:p>
    <w:sectPr>
      <w:footerReference w:type="default" r:id="rId2"/>
      <w:footerReference w:type="even" r:id="rId3"/>
      <w:pgSz w:w="11906" w:h="16838"/>
      <w:pgMar w:top="2098" w:right="1531" w:bottom="1984" w:left="1531" w:header="851" w:footer="1417" w:gutter="0"/>
      <w:docGrid w:type="linesAndChars" w:linePitch="579" w:charSpace="-84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7A"/>
    <w:family w:val="auto"/>
    <w:pitch w:val="variable"/>
    <w:sig w:usb0="00000003" w:usb1="288F0000" w:usb2="00000006" w:usb3="00000000" w:csb0="00040001" w:csb1="00000000"/>
  </w:font>
  <w:font w:name="Times New Roman">
    <w:panose1 w:val="02020603050405020304"/>
    <w:charset w:val="86"/>
    <w:family w:val="auto"/>
    <w:pitch w:val="variable"/>
    <w:sig w:usb0="E0002AFF" w:usb1="C0007841" w:usb2="00000009" w:usb3="00000000" w:csb0="400001FF" w:csb1="FFFF0000"/>
  </w:font>
  <w:font w:name="方正仿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>
  <w:p>
    <w:pPr>
      <w:jc w:val="right"/>
      <w:rPr>
        <w:rFonts w:eastAsia="Times New Roman"/>
        <w:sz w:val="18"/>
      </w:rPr>
    </w:pPr>
    <w:r>
      <w:rPr>
        <w:sz w:val="18"/>
      </w:rPr>
      <mc:AlternateContent>
        <mc:Choice Requires="wps">
          <w:drawing>
            <wp:anchor distT="0" distB="0" distL="114298" distR="114298" simplePos="0" relativeHeight="10" behindDoc="0" locked="0" layoutInCell="1" hidden="0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300" cy="230251"/>
              <wp:effectExtent l="0" t="0" r="0" b="0"/>
              <wp:wrapNone/>
              <wp:docPr id="1" name="文本框 1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622300" cy="230251"/>
                      </a:xfrm>
                      <a:prstGeom prst="rect"/>
                      <a:noFill/>
                      <a:ln w="9525" cmpd="sng" cap="flat">
                        <a:noFill/>
                        <a:prstDash val="solid"/>
                        <a:round/>
                      </a:ln>
                    </wps:spPr>
                    <wps:txbx id="2">
                      <w:txbxContent>
                        <w:p>
                          <w:pPr>
                            <w:pStyle w:val="17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3" o:spid="_x0000_s3" filled="f" stroked="f" style="position:absolute;margin-left:0.0pt;margin-top:0.0pt;width:49.000004pt;height:18.130003pt;z-index:10;mso-position-horizontal:outside;mso-position-horizontal-relative:margin;mso-position-vertical:absolute;mso-wrap-distance-left:8.999863pt;mso-wrap-distance-right:8.999863pt;mso-wrap-style:non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17"/>
                      <w:tabs>
                        <w:tab w:val="center" w:pos="4153"/>
                        <w:tab w:val="right" w:pos="8306"/>
                      </w:tabs>
                      <w:rPr>
                        <w:rFonts w:asci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>
  <w:p>
    <w:pPr>
      <w:jc w:val="right"/>
      <w:rPr>
        <w:rFonts w:eastAsia="Times New Roman"/>
        <w:sz w:val="18"/>
      </w:rPr>
    </w:pPr>
    <w:r>
      <w:rPr>
        <w:rFonts w:eastAsia="Times New Roman"/>
        <w:sz w:val="18"/>
      </w:rPr>
      <w:fldChar w:fldCharType="begin"/>
    </w:r>
    <w:r>
      <w:rPr>
        <w:rFonts w:eastAsia="Times New Roman"/>
        <w:sz w:val="18"/>
      </w:rPr>
      <w:instrText xml:space="preserve"> PAGE </w:instrText>
    </w:r>
    <w:r>
      <w:rPr>
        <w:rFonts w:eastAsia="Times New Roman"/>
        <w:sz w:val="18"/>
      </w:rPr>
      <w:fldChar w:fldCharType="separate"/>
    </w:r>
    <w:r>
      <w:rPr>
        <w:rFonts w:eastAsia="Times New Roman"/>
        <w:sz w:val="18"/>
      </w:rPr>
      <w:fldChar w:fldCharType="end"/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70"/>
  <w:bordersDoNotSurroundHeader w:val="0"/>
  <w:bordersDoNotSurroundFooter w:val="0"/>
  <w:trackRevisions/>
  <w:defaultTabStop w:val="425"/>
  <w:drawingGridHorizontalSpacing w:val="158"/>
  <w:drawingGridVerticalSpacing w:val="290"/>
  <w:displayHorizontalDrawingGridEvery w:val="1"/>
  <w:displayVerticalDrawingGridEvery w:val="1"/>
  <w:noPunctuationKerning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ulTrailSpace/>
    <w:doNotExpandShiftReturn/>
    <w:growAutofit/>
    <w:doNotUseIndentAsNumberingTabStop/>
    <w:useAltKinsokuLineBreakRules/>
    <w:splitPgBreakAndParaMark/>
    <w:compatSetting w:name="compatibilityMode" w:uri="http://schemas.microsoft.com/office/word" w:val="14"/>
  </w:compat>
  <w:docVars>
    <w:docVars w:name="commondata" w:val="eyJoZGlkIjoiNzk1NTllODc5MzdhMGE5N2NmYTZmZGNlYjczYzMyOGI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next w:val="16"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方正仿宋_GBK" w:cs="Times New Roman" w:hAnsi="Times New Roman"/>
      <w:sz w:val="32"/>
      <w:szCs w:val="32"/>
      <w:lang w:val="en-US" w:eastAsia="zh-CN" w:bidi="ar-SA"/>
    </w:rPr>
  </w:style>
  <w:style w:type="character" w:default="1" w:styleId="10">
    <w:name w:val="Default Paragraph Font"/>
  </w:style>
  <w:style w:type="paragraph" w:styleId="15">
    <w:name w:val="Body Text Indent"/>
    <w:basedOn w:val="0"/>
    <w:pPr>
      <w:spacing w:after="120"/>
      <w:ind w:leftChars="200" w:left="200"/>
    </w:pPr>
  </w:style>
  <w:style w:type="paragraph" w:styleId="16">
    <w:name w:val="Body Text First Indent 2"/>
    <w:basedOn w:val="15"/>
    <w:next w:val="17"/>
    <w:pPr>
      <w:widowControl w:val="0"/>
      <w:spacing w:after="120" w:afterAutospacing="0"/>
      <w:ind w:firstLine="420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styleId="17">
    <w:name w:val="footer"/>
    <w:basedOn w:val="0"/>
    <w:next w:val="0"/>
    <w:pPr>
      <w:tabs>
        <w:tab w:val="center" w:pos="4153"/>
        <w:tab w:val="right" w:pos="8306"/>
      </w:tabs>
      <w:adjustRightInd w:val="0"/>
      <w:snapToGrid w:val="0"/>
      <w:spacing w:line="240" w:lineRule="atLeast"/>
      <w:jc w:val="left"/>
    </w:pPr>
    <w:rPr>
      <w:sz w:val="18"/>
      <w:szCs w:val="18"/>
    </w:rPr>
  </w:style>
  <w:style w:type="paragraph" w:styleId="18">
    <w:name w:val="Balloon Text"/>
    <w:basedOn w:val="0"/>
    <w:rPr>
      <w:sz w:val="18"/>
      <w:szCs w:val="18"/>
    </w:rPr>
  </w:style>
  <w:style w:type="paragraph" w:styleId="19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line="240" w:lineRule="atLeast"/>
      <w:jc w:val="center"/>
    </w:pPr>
    <w:rPr>
      <w:sz w:val="18"/>
      <w:szCs w:val="18"/>
    </w:rPr>
  </w:style>
  <w:style w:type="character" w:styleId="20">
    <w:name w:val="page number"/>
    <w:basedOn w:val="1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29</TotalTime>
  <Application>Yozo_Office</Application>
  <Pages>3</Pages>
  <Words>612</Words>
  <Characters>684</Characters>
  <Lines>44</Lines>
  <Paragraphs>19</Paragraphs>
  <CharactersWithSpaces>722</CharactersWithSpaces>
  <Company>jw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批复文件</dc:title>
  <dc:creator>jw</dc:creator>
  <cp:lastModifiedBy>Microsoft</cp:lastModifiedBy>
  <cp:revision>0</cp:revision>
  <cp:lastPrinted>2025-11-21T02:58:00Z</cp:lastPrinted>
  <dcterms:created xsi:type="dcterms:W3CDTF">2025-08-06T17:08:00Z</dcterms:created>
  <dcterms:modified xsi:type="dcterms:W3CDTF">2025-11-27T06:55:17Z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ICV">
    <vt:lpwstr>D62834EB8BCD4771A25BEF427D286BD5</vt:lpwstr>
  </property>
  <property fmtid="{D5CDD505-2E9C-101B-9397-08002B2CF9AE}" pid="3" name="KSOProductBuildVer">
    <vt:lpwstr>2052-11.1.0.13703</vt:lpwstr>
  </property>
  <property fmtid="{D5CDD505-2E9C-101B-9397-08002B2CF9AE}" pid="4" name="KSOTemplateDocerSaveRecord">
    <vt:lpwstr>eyJoZGlkIjoiMjViODE3N2ZhNWY1ZjA5YmVmMzViYWZhNjNmNjA4ZTIiLCJ1c2VySWQiOiI1MDcyMjY1NjEifQ==</vt:lpwstr>
  </property>
</Properties>
</file>