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  <w:bookmarkStart w:id="0" w:name="_GoBack"/>
      <w:bookmarkEnd w:id="0"/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>
      <w:pPr>
        <w:adjustRightInd/>
        <w:spacing w:line="240" w:lineRule="auto"/>
        <w:jc w:val="both"/>
        <w:rPr>
          <w:i/>
          <w:iCs/>
        </w:rPr>
      </w:pPr>
    </w:p>
    <w:p>
      <w:pPr>
        <w:adjustRightInd/>
        <w:spacing w:line="240" w:lineRule="auto"/>
        <w:jc w:val="center"/>
        <w:rPr>
          <w:rFonts w:eastAsia="宋体"/>
          <w:bCs/>
          <w:iCs/>
          <w:color w:val="auto"/>
        </w:rPr>
      </w:pPr>
      <w:bookmarkStart w:id="1" w:name="approveNum"/>
      <w:r>
        <w:rPr>
          <w:rFonts w:hint="eastAsia"/>
          <w:iCs/>
          <w:color w:val="auto"/>
        </w:rPr>
        <w:t>津发改审</w:t>
      </w:r>
      <w:r>
        <w:rPr>
          <w:rFonts w:ascii="方正仿宋_GBK" w:cs="方正仿宋_GBK"/>
          <w:color w:val="auto"/>
        </w:rPr>
        <w:t>〔</w:t>
      </w:r>
      <w:r>
        <w:rPr>
          <w:rFonts w:ascii="方正仿宋_GBK" w:cs="方正仿宋_GBK" w:hint="eastAsia"/>
          <w:color w:val="auto"/>
        </w:rPr>
        <w:t>2025</w:t>
      </w:r>
      <w:r>
        <w:rPr>
          <w:rFonts w:ascii="方正仿宋_GBK" w:cs="方正仿宋_GBK"/>
          <w:color w:val="auto"/>
        </w:rPr>
        <w:t>〕</w:t>
      </w:r>
      <w:r>
        <w:rPr>
          <w:rFonts w:ascii="方正仿宋_GBK" w:cs="方正仿宋_GBK" w:hint="eastAsia"/>
          <w:color w:val="auto"/>
          <w:lang w:val="en-US" w:eastAsia="zh-CN"/>
        </w:rPr>
        <w:t>294</w:t>
      </w:r>
      <w:r>
        <w:rPr>
          <w:rFonts w:ascii="方正仿宋_GBK" w:cs="方正仿宋_GBK"/>
          <w:color w:val="auto"/>
        </w:rPr>
        <w:t>号</w:t>
      </w:r>
      <w:bookmarkEnd w:id="1"/>
    </w:p>
    <w:p>
      <w:pPr>
        <w:spacing w:line="240" w:lineRule="auto"/>
        <w:jc w:val="center"/>
        <w:rPr>
          <w:bCs/>
          <w:color w:val="auto"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  <w:bookmarkStart w:id="2" w:name="approveUnit"/>
      <w:r>
        <w:rPr>
          <w:rFonts w:eastAsia="方正小标宋_GBK"/>
          <w:color w:val="auto"/>
          <w:kern w:val="2"/>
          <w:sz w:val="44"/>
          <w:szCs w:val="44"/>
        </w:rPr>
        <w:t>重庆市江津区发展和改革委员会</w:t>
      </w:r>
      <w:bookmarkEnd w:id="2"/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  <w:r>
        <w:rPr>
          <w:rFonts w:eastAsia="方正小标宋_GBK"/>
          <w:color w:val="auto"/>
          <w:kern w:val="2"/>
          <w:sz w:val="44"/>
          <w:szCs w:val="44"/>
        </w:rPr>
        <w:t>关于</w:t>
      </w:r>
      <w:r>
        <w:rPr>
          <w:rFonts w:ascii="Times New Roman" w:eastAsia="方正小标宋_GBK" w:cs="Times New Roman" w:hAnsi="Times New Roman"/>
          <w:i w:val="0"/>
          <w:iCs w:val="0"/>
          <w:caps w:val="0"/>
          <w:smallCaps w:val="0"/>
          <w:color w:val="auto"/>
          <w:spacing w:val="0"/>
          <w:kern w:val="2"/>
          <w:sz w:val="44"/>
          <w:szCs w:val="44"/>
          <w:shd w:val="clear" w:color="auto" w:fill="auto"/>
        </w:rPr>
        <w:t>嘉平镇2025年农村饮水及灌溉设备建设项目</w:t>
      </w:r>
      <w:r>
        <w:rPr>
          <w:rFonts w:eastAsia="方正小标宋_GBK"/>
          <w:color w:val="auto"/>
          <w:kern w:val="2"/>
          <w:sz w:val="44"/>
          <w:szCs w:val="44"/>
        </w:rPr>
        <w:t>可研</w:t>
      </w:r>
      <w:r>
        <w:rPr>
          <w:rFonts w:eastAsia="方正小标宋_GBK"/>
          <w:color w:val="auto"/>
          <w:kern w:val="2"/>
          <w:sz w:val="44"/>
          <w:szCs w:val="44"/>
        </w:rPr>
        <w:t>的批复</w:t>
      </w:r>
    </w:p>
    <w:p>
      <w:pPr>
        <w:overflowPunct w:val="0"/>
        <w:adjustRightInd/>
        <w:spacing w:line="600" w:lineRule="exact"/>
        <w:textAlignment w:val="auto"/>
        <w:rPr>
          <w:color w:val="auto"/>
          <w:kern w:val="2"/>
        </w:rPr>
      </w:pPr>
    </w:p>
    <w:p>
      <w:pPr>
        <w:overflowPunct w:val="0"/>
        <w:adjustRightInd/>
        <w:spacing w:line="600" w:lineRule="exact"/>
        <w:textAlignment w:val="auto"/>
        <w:rPr>
          <w:color w:val="auto"/>
          <w:kern w:val="2"/>
        </w:rPr>
      </w:pPr>
      <w:r>
        <w:rPr>
          <w:color w:val="auto"/>
          <w:kern w:val="2"/>
        </w:rPr>
        <w:t>重庆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市江津区</w:t>
      </w:r>
      <w:r>
        <w:rPr>
          <w:rFonts w:cs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  <w:lang w:eastAsia="zh-CN"/>
        </w:rPr>
        <w:t>嘉平镇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人民政府</w:t>
      </w:r>
      <w:r>
        <w:rPr>
          <w:color w:val="auto"/>
          <w:kern w:val="2"/>
        </w:rPr>
        <w:t>：</w:t>
      </w:r>
    </w:p>
    <w:p>
      <w:pPr>
        <w:keepNext w:val="0"/>
        <w:keepLines w:val="0"/>
        <w:widowControl w:val="0"/>
        <w:suppressLineNumbers w:val="0"/>
        <w:overflowPunct/>
        <w:adjustRightInd/>
        <w:spacing w:before="0" w:beforeAutospacing="0" w:after="0" w:afterAutospacing="0" w:line="579" w:lineRule="exact"/>
        <w:ind w:left="0" w:right="0" w:firstLineChars="200" w:firstLine="632"/>
        <w:jc w:val="both"/>
        <w:textAlignment w:val="auto"/>
        <w:rPr>
          <w:rFonts w:ascii="方正仿宋_GBK" w:cs="方正仿宋_GBK"/>
          <w:color w:val="auto"/>
          <w:kern w:val="2"/>
        </w:rPr>
      </w:pPr>
      <w:r>
        <w:rPr>
          <w:rFonts w:hint="eastAsia"/>
          <w:color w:val="auto"/>
          <w:kern w:val="2"/>
        </w:rPr>
        <w:t>你</w:t>
      </w:r>
      <w:r>
        <w:rPr>
          <w:rFonts w:hint="eastAsia"/>
          <w:color w:val="auto"/>
          <w:kern w:val="2"/>
          <w:lang w:eastAsia="zh-CN"/>
        </w:rPr>
        <w:t>镇报</w:t>
      </w:r>
      <w:r>
        <w:rPr>
          <w:color w:val="auto"/>
          <w:kern w:val="2"/>
          <w:lang w:eastAsia="zh-CN"/>
        </w:rPr>
        <w:t>来</w:t>
      </w: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/>
        </w:rPr>
        <w:t>《关于申请</w:t>
      </w:r>
      <w:r>
        <w:rPr>
          <w:rFonts w:ascii="Times New Roman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  <w:lang w:eastAsia="zh-CN"/>
        </w:rPr>
        <w:t>审批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嘉平镇2025年农村饮水及灌溉设备建设项目</w:t>
      </w:r>
      <w:r>
        <w:rPr>
          <w:rFonts w:ascii="Times New Roman" w:cs="Times New Roman" w:hAnsi="Times New Roman" w:hint="eastAsia"/>
          <w:color w:val="auto"/>
          <w:kern w:val="2"/>
          <w:sz w:val="32"/>
          <w:szCs w:val="32"/>
          <w:lang w:val="en-US" w:eastAsia="zh-CN"/>
        </w:rPr>
        <w:t>可研</w:t>
      </w: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/>
        </w:rPr>
        <w:t>的函》（</w:t>
      </w:r>
      <w:r>
        <w:rPr>
          <w:rFonts w:cs="Times New Roman" w:hint="eastAsia"/>
          <w:color w:val="auto"/>
          <w:kern w:val="2"/>
          <w:sz w:val="32"/>
          <w:szCs w:val="32"/>
          <w:lang w:val="en-US" w:eastAsia="zh-CN"/>
        </w:rPr>
        <w:t>嘉平府函</w:t>
      </w: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/>
        </w:rPr>
        <w:t>〔2025〕</w:t>
      </w:r>
      <w:r>
        <w:rPr>
          <w:rFonts w:cs="Times New Roman" w:hint="eastAsia"/>
          <w:color w:val="auto"/>
          <w:kern w:val="2"/>
          <w:sz w:val="32"/>
          <w:szCs w:val="32"/>
          <w:lang w:val="en-US" w:eastAsia="zh-CN"/>
        </w:rPr>
        <w:t>145</w:t>
      </w: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/>
        </w:rPr>
        <w:t>号)及相关附件资料</w:t>
      </w:r>
      <w:r>
        <w:rPr>
          <w:rFonts w:ascii="Times New Roman" w:cs="Times New Roman" w:hAnsi="Times New Roman" w:hint="eastAsia"/>
          <w:color w:val="auto"/>
          <w:kern w:val="2"/>
        </w:rPr>
        <w:t>收悉。</w:t>
      </w:r>
      <w:r>
        <w:rPr>
          <w:rFonts w:ascii="Times New Roman" w:cs="Times New Roman" w:hAnsi="Times New Roman" w:hint="eastAsia"/>
          <w:color w:val="auto"/>
          <w:kern w:val="2"/>
          <w:lang w:eastAsia="zh-CN"/>
        </w:rPr>
        <w:t>根据政府投资管理相关规定，</w:t>
      </w:r>
      <w:r>
        <w:rPr>
          <w:rFonts w:cs="Times New Roman" w:hint="eastAsia"/>
          <w:color w:val="auto"/>
          <w:kern w:val="2"/>
          <w:lang w:eastAsia="zh-CN"/>
        </w:rPr>
        <w:t>结合区水利局、区发改委及区财政局</w:t>
      </w: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/>
        </w:rPr>
        <w:t>《关于</w:t>
      </w:r>
      <w:r>
        <w:rPr>
          <w:rFonts w:cs="Times New Roman" w:hint="eastAsia"/>
          <w:color w:val="auto"/>
          <w:kern w:val="2"/>
          <w:sz w:val="32"/>
          <w:szCs w:val="32"/>
          <w:lang w:val="en-US" w:eastAsia="zh-CN"/>
        </w:rPr>
        <w:t>下达2025年农村饮水及灌溉设备建设项目可研的函</w:t>
      </w: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/>
        </w:rPr>
        <w:t>》（</w:t>
      </w:r>
      <w:r>
        <w:rPr>
          <w:rFonts w:cs="Times New Roman" w:hint="eastAsia"/>
          <w:color w:val="auto"/>
          <w:kern w:val="2"/>
          <w:sz w:val="32"/>
          <w:szCs w:val="32"/>
          <w:lang w:val="en-US" w:eastAsia="zh-CN"/>
        </w:rPr>
        <w:t>津水利发</w:t>
      </w: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/>
        </w:rPr>
        <w:t>〔2025〕</w:t>
      </w:r>
      <w:r>
        <w:rPr>
          <w:rFonts w:cs="Times New Roman" w:hint="eastAsia"/>
          <w:color w:val="auto"/>
          <w:kern w:val="2"/>
          <w:sz w:val="32"/>
          <w:szCs w:val="32"/>
          <w:lang w:val="en-US" w:eastAsia="zh-CN"/>
        </w:rPr>
        <w:t>84</w:t>
      </w: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/>
        </w:rPr>
        <w:t>号)</w:t>
      </w:r>
      <w:r>
        <w:rPr>
          <w:rFonts w:cs="Times New Roman" w:hint="eastAsia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ascii="方正仿宋_GBK" w:cs="方正仿宋_GBK"/>
          <w:color w:val="auto"/>
          <w:kern w:val="2"/>
        </w:rPr>
        <w:t>经研究，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现就有关事宜批复如下：</w:t>
      </w:r>
    </w:p>
    <w:p>
      <w:pPr>
        <w:widowControl/>
        <w:overflowPunct/>
        <w:adjustRightInd/>
        <w:spacing w:line="240" w:lineRule="auto"/>
        <w:ind w:firstLineChars="200" w:firstLine="632"/>
        <w:jc w:val="left"/>
        <w:textAlignment w:val="auto"/>
        <w:rPr>
          <w:color w:val="auto"/>
          <w:kern w:val="2"/>
        </w:rPr>
      </w:pPr>
      <w:r>
        <w:rPr>
          <w:rFonts w:hint="eastAsia"/>
          <w:color w:val="auto"/>
          <w:kern w:val="2"/>
        </w:rPr>
        <w:t>一、</w:t>
      </w:r>
      <w:r>
        <w:rPr>
          <w:rFonts w:ascii="方正仿宋_GBK" w:cs="方正仿宋_GBK"/>
          <w:iCs w:val="0"/>
          <w:color w:val="auto"/>
          <w:kern w:val="2"/>
          <w:lang w:eastAsia="zh-CN"/>
        </w:rPr>
        <w:t>为</w:t>
      </w:r>
      <w:r>
        <w:rPr>
          <w:rFonts w:ascii="方正仿宋_GBK" w:cs="方正仿宋_GBK" w:hint="eastAsia"/>
          <w:iCs w:val="0"/>
          <w:color w:val="auto"/>
          <w:kern w:val="2"/>
          <w:lang w:eastAsia="zh-CN"/>
        </w:rPr>
        <w:t>改善项目区域群众用水现状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ascii="方正仿宋_GBK" w:cs="方正仿宋_GBK"/>
          <w:color w:val="auto"/>
          <w:kern w:val="2"/>
        </w:rPr>
        <w:t>同意实施该</w:t>
      </w:r>
      <w:r>
        <w:rPr>
          <w:rFonts w:hint="eastAsia"/>
          <w:color w:val="auto"/>
          <w:kern w:val="2"/>
        </w:rPr>
        <w:t>项目。</w:t>
      </w:r>
    </w:p>
    <w:p>
      <w:pPr>
        <w:widowControl/>
        <w:overflowPunct/>
        <w:adjustRightInd/>
        <w:spacing w:line="240" w:lineRule="auto"/>
        <w:ind w:firstLineChars="200" w:firstLine="632"/>
        <w:jc w:val="left"/>
        <w:textAlignment w:val="auto"/>
        <w:rPr>
          <w:rFonts w:ascii="方正仿宋_GBK" w:cs="方正仿宋_GBK" w:hint="eastAsia"/>
          <w:color w:val="auto"/>
          <w:kern w:val="2"/>
        </w:rPr>
      </w:pPr>
      <w:r>
        <w:rPr>
          <w:rFonts w:hint="eastAsia"/>
          <w:color w:val="auto"/>
          <w:kern w:val="32"/>
        </w:rPr>
        <w:t>二、项目代</w:t>
      </w:r>
      <w:r>
        <w:rPr>
          <w:rFonts w:ascii="方正仿宋_GBK" w:cs="方正仿宋_GBK" w:hint="eastAsia"/>
          <w:color w:val="auto"/>
          <w:kern w:val="2"/>
        </w:rPr>
        <w:t>码：</w:t>
      </w:r>
      <w:r>
        <w:rPr>
          <w:rFonts w:ascii="方正仿宋_GBK" w:eastAsia="方正仿宋_GBK" w:cs="方正仿宋_GBK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2511-500116-04-05-669627</w:t>
      </w:r>
      <w:r>
        <w:rPr>
          <w:rFonts w:ascii="方正仿宋_GBK" w:cs="方正仿宋_GBK" w:hint="eastAsia"/>
          <w:color w:val="auto"/>
          <w:kern w:val="2"/>
        </w:rPr>
        <w:t>。</w:t>
      </w:r>
    </w:p>
    <w:p>
      <w:pPr>
        <w:widowControl/>
        <w:overflowPunct/>
        <w:adjustRightInd/>
        <w:spacing w:line="240" w:lineRule="auto"/>
        <w:ind w:firstLineChars="200" w:firstLine="632"/>
        <w:jc w:val="left"/>
        <w:textAlignment w:val="auto"/>
        <w:rPr>
          <w:rFonts w:ascii="方正仿宋_GBK" w:cs="方正仿宋_GBK" w:hint="eastAsia"/>
          <w:color w:val="auto"/>
          <w:kern w:val="2"/>
        </w:rPr>
      </w:pPr>
      <w:r>
        <w:rPr>
          <w:rFonts w:ascii="方正仿宋_GBK" w:cs="方正仿宋_GBK" w:hint="eastAsia"/>
          <w:color w:val="auto"/>
          <w:kern w:val="2"/>
        </w:rPr>
        <w:t>三、项目法人：重庆</w:t>
      </w:r>
      <w:r>
        <w:rPr>
          <w:rFonts w:ascii="方正仿宋_GBK" w:eastAsia="方正仿宋_GBK" w:cs="方正仿宋_GBK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市江津区</w:t>
      </w:r>
      <w:r>
        <w:rPr>
          <w:rFonts w:cs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  <w:lang w:eastAsia="zh-CN"/>
        </w:rPr>
        <w:t>嘉平镇</w:t>
      </w:r>
      <w:r>
        <w:rPr>
          <w:rFonts w:ascii="方正仿宋_GBK" w:eastAsia="方正仿宋_GBK" w:cs="方正仿宋_GBK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人民政府</w:t>
      </w:r>
      <w:r>
        <w:rPr>
          <w:rFonts w:ascii="方正仿宋_GBK" w:cs="方正仿宋_GBK" w:hint="eastAsia"/>
          <w:color w:val="auto"/>
          <w:kern w:val="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color w:val="auto"/>
          <w:kern w:val="32"/>
        </w:rPr>
      </w:pPr>
      <w:r>
        <w:rPr>
          <w:rFonts w:hint="eastAsia"/>
          <w:color w:val="auto"/>
          <w:kern w:val="32"/>
        </w:rPr>
        <w:t>四、项目建设地点：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32"/>
          <w:sz w:val="32"/>
          <w:szCs w:val="32"/>
          <w:shd w:val="clear" w:color="auto" w:fill="auto"/>
        </w:rPr>
        <w:t>嘉平镇天水村寒坡村</w:t>
      </w:r>
      <w:r>
        <w:rPr>
          <w:rFonts w:hint="eastAsia"/>
          <w:color w:val="auto"/>
          <w:kern w:val="3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color w:val="auto"/>
          <w:kern w:val="2"/>
        </w:rPr>
      </w:pPr>
      <w:r>
        <w:rPr>
          <w:color w:val="auto"/>
          <w:kern w:val="32"/>
        </w:rPr>
        <w:t>五、</w:t>
      </w:r>
      <w:r>
        <w:rPr>
          <w:color w:val="auto"/>
        </w:rPr>
        <w:t>建设规模、标准及主要建设内容</w:t>
      </w:r>
      <w:r>
        <w:rPr>
          <w:rFonts w:hint="eastAsia"/>
          <w:color w:val="auto"/>
          <w:kern w:val="2"/>
        </w:rPr>
        <w:t>：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</w:rPr>
      </w:pP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新建取水口一处，新建加压泵站2座，新建高位水池1座200m³，安装输水管线7610m（其中DN110软管150m，DN110PE100级1.6MPa长2620m，3PE内外防腐钢管108*6长1680m，安装DN63 PE100级1.6 MPa长3160m）及其附属设施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</w:rPr>
      </w:pPr>
      <w:r>
        <w:rPr>
          <w:color w:val="auto"/>
        </w:rPr>
        <w:t>六、</w:t>
      </w:r>
      <w:r>
        <w:rPr>
          <w:rFonts w:hint="eastAsia"/>
          <w:color w:val="auto"/>
          <w:kern w:val="2"/>
        </w:rPr>
        <w:t>投资估算及资金来源：</w:t>
      </w:r>
      <w:r>
        <w:rPr>
          <w:color w:val="auto"/>
        </w:rPr>
        <w:t>总投资</w:t>
      </w:r>
      <w:r>
        <w:rPr>
          <w:rFonts w:hint="eastAsia"/>
          <w:color w:val="auto"/>
          <w:lang w:val="en-US" w:eastAsia="zh-CN"/>
        </w:rPr>
        <w:t>144.98</w:t>
      </w:r>
      <w:r>
        <w:rPr>
          <w:color w:val="auto"/>
        </w:rPr>
        <w:t>万元，其中</w:t>
      </w:r>
      <w:r>
        <w:rPr>
          <w:rFonts w:hint="eastAsia"/>
          <w:color w:val="auto"/>
          <w:lang w:eastAsia="zh-CN"/>
        </w:rPr>
        <w:t>工程费用</w:t>
      </w:r>
      <w:r>
        <w:rPr>
          <w:rFonts w:hint="eastAsia"/>
          <w:color w:val="auto"/>
          <w:lang w:val="en-US" w:eastAsia="zh-CN"/>
        </w:rPr>
        <w:t>125.84</w:t>
      </w:r>
      <w:r>
        <w:rPr>
          <w:color w:val="auto"/>
        </w:rPr>
        <w:t>万元，工程建设其他费</w:t>
      </w:r>
      <w:r>
        <w:rPr>
          <w:rFonts w:hint="eastAsia"/>
          <w:color w:val="auto"/>
          <w:lang w:val="en-US" w:eastAsia="zh-CN"/>
        </w:rPr>
        <w:t>12.23</w:t>
      </w:r>
      <w:r>
        <w:rPr>
          <w:color w:val="auto"/>
        </w:rPr>
        <w:t>万元，</w:t>
      </w:r>
      <w:r>
        <w:rPr>
          <w:rFonts w:hint="eastAsia"/>
          <w:color w:val="auto"/>
        </w:rPr>
        <w:t>基本</w:t>
      </w:r>
      <w:r>
        <w:rPr>
          <w:color w:val="auto"/>
        </w:rPr>
        <w:t>预备费</w:t>
      </w:r>
      <w:r>
        <w:rPr>
          <w:rFonts w:hint="eastAsia"/>
          <w:color w:val="auto"/>
          <w:lang w:val="en-US" w:eastAsia="zh-CN"/>
        </w:rPr>
        <w:t>6.91</w:t>
      </w:r>
      <w:r>
        <w:rPr>
          <w:color w:val="auto"/>
        </w:rPr>
        <w:t>万元。</w:t>
      </w:r>
      <w:r>
        <w:rPr>
          <w:rFonts w:hint="eastAsia"/>
          <w:color w:val="auto"/>
          <w:kern w:val="2"/>
        </w:rPr>
        <w:t>资金来源为</w:t>
      </w:r>
      <w:r>
        <w:rPr>
          <w:rFonts w:hint="eastAsia"/>
          <w:color w:val="auto"/>
          <w:kern w:val="2"/>
          <w:lang w:val="en-US" w:eastAsia="zh-CN"/>
        </w:rPr>
        <w:t>争取大中型水库移民后期扶持资金</w:t>
      </w:r>
      <w:r>
        <w:rPr>
          <w:rFonts w:hint="eastAsia"/>
          <w:color w:val="auto"/>
          <w:kern w:val="2"/>
        </w:rPr>
        <w:t>。</w:t>
      </w:r>
    </w:p>
    <w:p>
      <w:pPr>
        <w:overflowPunct w:val="0"/>
        <w:adjustRightInd/>
        <w:spacing w:line="580" w:lineRule="exact"/>
        <w:jc w:val="center"/>
        <w:textAlignment w:val="auto"/>
        <w:rPr>
          <w:color w:val="auto"/>
        </w:rPr>
      </w:pPr>
      <w:r>
        <w:rPr>
          <w:color w:val="auto"/>
        </w:rPr>
        <w:t>七、建设工期：</w:t>
      </w: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</w:rPr>
        <w:t>个月</w:t>
      </w:r>
      <w:r>
        <w:rPr>
          <w:color w:val="auto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color w:val="auto"/>
        </w:rPr>
      </w:pPr>
      <w:r>
        <w:rPr>
          <w:color w:val="auto"/>
        </w:rPr>
        <w:t>八</w:t>
      </w:r>
      <w:r>
        <w:rPr>
          <w:rFonts w:cs="方正仿宋_GBK" w:hint="eastAsia"/>
          <w:color w:val="auto"/>
          <w:kern w:val="2"/>
        </w:rPr>
        <w:t>、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u w:val="none"/>
          <w:lang w:val="en-US" w:eastAsia="zh-CN"/>
        </w:rPr>
        <w:t>请你单位接文后，按照本</w:t>
      </w:r>
      <w:r>
        <w:rPr>
          <w:rFonts w:ascii="方正仿宋_GBK" w:eastAsia="方正仿宋_GBK" w:cs="方正仿宋_GBK" w:hint="eastAsia"/>
          <w:color w:val="auto"/>
          <w:kern w:val="2"/>
          <w:sz w:val="32"/>
          <w:szCs w:val="32"/>
          <w:u w:val="none"/>
          <w:lang w:val="en-US" w:eastAsia="zh-CN"/>
        </w:rPr>
        <w:t>次批复的建设内容、建设规模、建设标准和投资等开展后续工作，待项目资金落实后方可开工建设，严禁以任何形式违规举债新增政府隐性债务。建设过程中要实行项目法人责任制、招标投标制、工程监理制和合同管理制，切实加强工程管理，确保工程质量、投资、工期控制到位</w:t>
      </w:r>
      <w: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  <w:t xml:space="preserve"> </w:t>
      </w:r>
    </w:p>
    <w:p>
      <w:pPr>
        <w:pStyle w:val="16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pStyle w:val="17"/>
        <w:tabs>
          <w:tab w:val="center" w:pos="4153"/>
          <w:tab w:val="right" w:pos="8306"/>
        </w:tabs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pStyle w:val="16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pStyle w:val="17"/>
        <w:tabs>
          <w:tab w:val="center" w:pos="4153"/>
          <w:tab w:val="right" w:pos="8306"/>
        </w:tabs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pStyle w:val="16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pStyle w:val="17"/>
        <w:tabs>
          <w:tab w:val="center" w:pos="4153"/>
          <w:tab w:val="right" w:pos="8306"/>
        </w:tabs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pStyle w:val="16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pStyle w:val="17"/>
        <w:tabs>
          <w:tab w:val="center" w:pos="4153"/>
          <w:tab w:val="right" w:pos="8306"/>
        </w:tabs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pStyle w:val="16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pStyle w:val="17"/>
        <w:tabs>
          <w:tab w:val="center" w:pos="4153"/>
          <w:tab w:val="right" w:pos="8306"/>
        </w:tabs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pStyle w:val="16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pStyle w:val="17"/>
        <w:tabs>
          <w:tab w:val="center" w:pos="4153"/>
          <w:tab w:val="right" w:pos="8306"/>
        </w:tabs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jc w:val="right"/>
        <w:textAlignment w:val="auto"/>
        <w:rPr>
          <w:color w:val="auto"/>
          <w:kern w:val="2"/>
        </w:rPr>
      </w:pPr>
      <w:bookmarkStart w:id="3" w:name="approveUnit1"/>
      <w:r>
        <w:rPr>
          <w:color w:val="auto"/>
          <w:kern w:val="2"/>
        </w:rPr>
        <w:t>重庆市江津区发展和改革委员会</w:t>
      </w: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hint="eastAsia"/>
          <w:color w:val="auto"/>
          <w:kern w:val="2"/>
        </w:rPr>
      </w:pPr>
      <w:r>
        <w:rPr>
          <w:color w:val="auto"/>
          <w:kern w:val="2"/>
        </w:rPr>
        <w:t xml:space="preserve">                      </w:t>
      </w:r>
      <w:r>
        <w:rPr>
          <w:rFonts w:hint="eastAsia"/>
          <w:color w:val="auto"/>
          <w:kern w:val="2"/>
        </w:rPr>
        <w:t xml:space="preserve"> </w:t>
      </w:r>
      <w:r>
        <w:rPr>
          <w:color w:val="auto"/>
          <w:kern w:val="2"/>
        </w:rPr>
        <w:t xml:space="preserve"> </w:t>
      </w:r>
      <w:r>
        <w:rPr>
          <w:rFonts w:hint="eastAsia"/>
          <w:color w:val="auto"/>
          <w:kern w:val="2"/>
          <w:lang w:val="en-US" w:eastAsia="zh-CN"/>
        </w:rPr>
        <w:t xml:space="preserve">   </w:t>
      </w:r>
      <w:r>
        <w:rPr>
          <w:color w:val="auto"/>
          <w:kern w:val="2"/>
        </w:rPr>
        <w:t xml:space="preserve">   </w:t>
      </w:r>
      <w:r>
        <w:rPr>
          <w:rFonts w:hint="eastAsia"/>
          <w:color w:val="auto"/>
          <w:kern w:val="2"/>
        </w:rPr>
        <w:t>2025年</w:t>
      </w:r>
      <w:r>
        <w:rPr>
          <w:rFonts w:hint="eastAsia"/>
          <w:color w:val="auto"/>
          <w:kern w:val="2"/>
          <w:lang w:val="en-US" w:eastAsia="zh-CN"/>
        </w:rPr>
        <w:t>11</w:t>
      </w:r>
      <w:r>
        <w:rPr>
          <w:rFonts w:hint="eastAsia"/>
          <w:color w:val="auto"/>
          <w:kern w:val="2"/>
        </w:rPr>
        <w:t>月</w:t>
      </w:r>
      <w:r>
        <w:rPr>
          <w:rFonts w:hint="eastAsia"/>
          <w:color w:val="auto"/>
          <w:kern w:val="2"/>
          <w:lang w:val="en-US" w:eastAsia="zh-CN"/>
        </w:rPr>
        <w:t>21</w:t>
      </w:r>
      <w:r>
        <w:rPr>
          <w:rFonts w:hint="eastAsia"/>
          <w:color w:val="auto"/>
          <w:kern w:val="2"/>
        </w:rPr>
        <w:t xml:space="preserve">日  </w:t>
      </w:r>
    </w:p>
    <w:p>
      <w:pPr>
        <w:pBdr>
          <w:bottom w:val="single" w:sz="4" w:space="0" w:color="auto"/>
        </w:pBdr>
        <w:spacing w:line="500" w:lineRule="exact"/>
        <w:ind w:firstLineChars="1550" w:firstLine="4896"/>
        <w:rPr>
          <w:rFonts w:ascii="方正仿宋_GBK" w:eastAsia="方正仿宋_GBK" w:hint="eastAsia"/>
          <w:color w:val="auto"/>
          <w:sz w:val="32"/>
          <w:szCs w:val="32"/>
        </w:rPr>
      </w:pPr>
    </w:p>
    <w:p>
      <w:pPr>
        <w:tabs>
          <w:tab w:val="left" w:pos="7560"/>
        </w:tabs>
        <w:spacing w:line="500" w:lineRule="exact"/>
        <w:ind w:leftChars="132" w:left="1244" w:hangingChars="300" w:hanging="827"/>
        <w:rPr>
          <w:rFonts w:ascii="方正仿宋_GBK" w:eastAsia="方正仿宋_GBK" w:hint="eastAsia"/>
          <w:color w:val="auto"/>
          <w:sz w:val="28"/>
          <w:szCs w:val="28"/>
        </w:rPr>
      </w:pPr>
      <w:r>
        <w:rPr>
          <w:rFonts w:ascii="方正仿宋_GBK" w:eastAsia="方正仿宋_GBK" w:hint="eastAsia"/>
          <w:color w:val="auto"/>
          <w:sz w:val="28"/>
          <w:szCs w:val="28"/>
        </w:rPr>
        <w:t>抄送：</w:t>
      </w:r>
      <w:r>
        <w:rPr>
          <w:rFonts w:ascii="方正仿宋_GBK" w:hint="eastAsia"/>
          <w:color w:val="auto"/>
          <w:sz w:val="28"/>
          <w:szCs w:val="28"/>
          <w:lang w:eastAsia="zh-CN"/>
        </w:rPr>
        <w:t>江津区规资局，区水利局、</w:t>
      </w:r>
      <w:r>
        <w:rPr>
          <w:rFonts w:ascii="方正仿宋_GBK" w:eastAsia="方正仿宋_GBK" w:hint="eastAsia"/>
          <w:color w:val="auto"/>
          <w:sz w:val="28"/>
          <w:szCs w:val="28"/>
        </w:rPr>
        <w:t>区财政局、区审计局、区统计局</w:t>
      </w:r>
      <w:r>
        <w:rPr>
          <w:rFonts w:ascii="方正仿宋_GBK" w:eastAsia="方正仿宋_GBK" w:hint="eastAsia"/>
          <w:color w:val="auto"/>
          <w:spacing w:val="40"/>
          <w:sz w:val="28"/>
          <w:szCs w:val="28"/>
        </w:rPr>
        <w:t>。</w:t>
      </w:r>
    </w:p>
    <w:p>
      <w:pPr>
        <w:pBdr>
          <w:top w:val="single" w:sz="4" w:space="1" w:color="auto"/>
          <w:bottom w:val="single" w:sz="4" w:space="1" w:color="auto"/>
        </w:pBdr>
        <w:spacing w:line="500" w:lineRule="exact"/>
        <w:ind w:firstLineChars="100" w:firstLine="276"/>
        <w:rPr>
          <w:rFonts w:ascii="方正仿宋_GBK" w:eastAsia="方正仿宋_GBK" w:hint="eastAsia"/>
          <w:color w:val="auto"/>
          <w:sz w:val="28"/>
          <w:szCs w:val="28"/>
        </w:rPr>
      </w:pPr>
      <w:r>
        <w:rPr>
          <w:rFonts w:ascii="方正仿宋_GBK" w:eastAsia="方正仿宋_GBK" w:hint="eastAsia"/>
          <w:color w:val="auto"/>
          <w:sz w:val="28"/>
          <w:szCs w:val="28"/>
        </w:rPr>
        <w:t>重庆市江津区发展和改革委员会办公室     202</w:t>
      </w:r>
      <w:r>
        <w:rPr>
          <w:rFonts w:ascii="方正仿宋_GBK" w:eastAsia="方正仿宋_GBK" w:hint="eastAsia"/>
          <w:color w:val="auto"/>
          <w:sz w:val="28"/>
          <w:szCs w:val="28"/>
          <w:lang w:val="en-US" w:eastAsia="zh-CN"/>
        </w:rPr>
        <w:t>5</w:t>
      </w:r>
      <w:r>
        <w:rPr>
          <w:rFonts w:ascii="方正仿宋_GBK" w:eastAsia="方正仿宋_GBK" w:hint="eastAsia"/>
          <w:color w:val="auto"/>
          <w:sz w:val="28"/>
          <w:szCs w:val="28"/>
        </w:rPr>
        <w:t>年</w:t>
      </w:r>
      <w:r>
        <w:rPr>
          <w:rFonts w:ascii="方正仿宋_GBK" w:hint="eastAsia"/>
          <w:color w:val="auto"/>
          <w:sz w:val="28"/>
          <w:szCs w:val="28"/>
          <w:lang w:val="en-US" w:eastAsia="zh-CN"/>
        </w:rPr>
        <w:t>11</w:t>
      </w:r>
      <w:r>
        <w:rPr>
          <w:rFonts w:ascii="方正仿宋_GBK" w:eastAsia="方正仿宋_GBK" w:hint="eastAsia"/>
          <w:color w:val="auto"/>
          <w:sz w:val="28"/>
          <w:szCs w:val="28"/>
        </w:rPr>
        <w:t>月</w:t>
      </w:r>
      <w:r>
        <w:rPr>
          <w:rFonts w:ascii="方正仿宋_GBK" w:hint="eastAsia"/>
          <w:color w:val="auto"/>
          <w:sz w:val="28"/>
          <w:szCs w:val="28"/>
          <w:lang w:val="en-US" w:eastAsia="zh-CN"/>
        </w:rPr>
        <w:t>21</w:t>
      </w:r>
      <w:r>
        <w:rPr>
          <w:rFonts w:ascii="方正仿宋_GBK" w:eastAsia="方正仿宋_GBK" w:hint="eastAsia"/>
          <w:color w:val="auto"/>
          <w:sz w:val="28"/>
          <w:szCs w:val="28"/>
        </w:rPr>
        <w:t>日印发</w:t>
      </w:r>
    </w:p>
    <w:p>
      <w:pPr>
        <w:spacing w:line="240" w:lineRule="auto"/>
        <w:rPr>
          <w:color w:val="auto"/>
          <w:sz w:val="28"/>
          <w:szCs w:val="28"/>
        </w:rPr>
      </w:pPr>
      <w:bookmarkEnd w:id="3"/>
    </w:p>
    <w:sectPr>
      <w:footerReference w:type="default" r:id="rId2"/>
      <w:footerReference w:type="even" r:id="rId3"/>
      <w:pgSz w:w="11906" w:h="16838"/>
      <w:pgMar w:top="2098" w:right="1531" w:bottom="1984" w:left="1531" w:header="851" w:footer="1417" w:gutter="0"/>
      <w:docGrid w:type="linesAndChars" w:linePitch="579" w:charSpace="-84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0251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" o:spid="_x0000_s3" filled="f" stroked="f" style="position:absolute;margin-left:0.0pt;margin-top:0.0pt;width:49.000004pt;height:18.130003pt;z-index:10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separate"/>
    </w:r>
    <w:r>
      <w:rPr>
        <w:rFonts w:eastAsia="Times New Roman"/>
        <w:sz w:val="18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bordersDoNotSurroundHeader w:val="0"/>
  <w:bordersDoNotSurroundFooter w:val="0"/>
  <w:trackRevisions/>
  <w:defaultTabStop w:val="425"/>
  <w:drawingGridHorizontalSpacing w:val="158"/>
  <w:drawingGridVerticalSpacing w:val="290"/>
  <w:displayHorizontalDrawingGridEvery w:val="1"/>
  <w:displayVerticalDrawingGridEvery w:val="1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ulTrailSpace/>
    <w:doNotExpandShiftReturn/>
    <w:growAutofit/>
    <w:doNotUseIndentAsNumberingTabStop/>
    <w:useAltKinsokuLineBreakRules/>
    <w:splitPgBreakAndParaMark/>
    <w:compatSetting w:name="compatibilityMode" w:uri="http://schemas.microsoft.com/office/word" w:val="14"/>
  </w:compat>
  <w:docVars>
    <w:docVars w:name="commondata" w:val="eyJoZGlkIjoiNGVjODIzZDc3YmU5Zjg1ZDg1NzA1MDQxYWNkZjZlZDA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6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方正仿宋_GBK" w:cs="Times New Roman" w:hAnsi="Times New Roman"/>
      <w:sz w:val="32"/>
      <w:szCs w:val="32"/>
      <w:lang w:val="en-US" w:eastAsia="zh-CN" w:bidi="ar-SA"/>
    </w:rPr>
  </w:style>
  <w:style w:type="character" w:default="1" w:styleId="10">
    <w:name w:val="Default Paragraph Font"/>
  </w:style>
  <w:style w:type="paragraph" w:styleId="15">
    <w:name w:val="Body Text Indent"/>
    <w:basedOn w:val="0"/>
    <w:pPr>
      <w:spacing w:after="120"/>
      <w:ind w:leftChars="200" w:left="200"/>
    </w:pPr>
  </w:style>
  <w:style w:type="paragraph" w:styleId="16">
    <w:name w:val="Body Text First Indent 2"/>
    <w:basedOn w:val="15"/>
    <w:next w:val="17"/>
    <w:pPr>
      <w:widowControl w:val="0"/>
      <w:spacing w:after="120" w:afterAutospacing="0"/>
      <w:ind w:firstLine="420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styleId="17">
    <w:name w:val="footer"/>
    <w:basedOn w:val="0"/>
    <w:next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</w:pPr>
    <w:rPr>
      <w:sz w:val="18"/>
      <w:szCs w:val="18"/>
    </w:rPr>
  </w:style>
  <w:style w:type="paragraph" w:styleId="18">
    <w:name w:val="Balloon Text"/>
    <w:basedOn w:val="0"/>
    <w:rPr>
      <w:sz w:val="18"/>
      <w:szCs w:val="18"/>
    </w:rPr>
  </w:style>
  <w:style w:type="paragraph" w:styleId="19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character" w:styleId="20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3</Pages>
  <Words>657</Words>
  <Characters>788</Characters>
  <Lines>63</Lines>
  <Paragraphs>18</Paragraphs>
  <CharactersWithSpaces>828</CharactersWithSpaces>
  <Company>jw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批复文件</dc:title>
  <dc:creator>jw</dc:creator>
  <cp:lastModifiedBy>Microsoft</cp:lastModifiedBy>
  <cp:revision>0</cp:revision>
  <cp:lastPrinted>2025-11-20T00:55:10Z</cp:lastPrinted>
  <dcterms:created xsi:type="dcterms:W3CDTF">2025-08-06T17:08:00Z</dcterms:created>
  <dcterms:modified xsi:type="dcterms:W3CDTF">2025-11-27T06:17:42Z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C5D8460EB505406CB6A46E6C46157A7E</vt:lpwstr>
  </property>
  <property fmtid="{D5CDD505-2E9C-101B-9397-08002B2CF9AE}" pid="3" name="KSOProductBuildVer">
    <vt:lpwstr>2052-11.1.0.13703</vt:lpwstr>
  </property>
  <property fmtid="{D5CDD505-2E9C-101B-9397-08002B2CF9AE}" pid="4" name="KSOTemplateDocerSaveRecord">
    <vt:lpwstr>eyJoZGlkIjoiMjViODE3N2ZhNWY1ZjA5YmVmMzViYWZhNjNmNjA4ZTIiLCJ1c2VySWQiOiI1MDcyMjY1NjEifQ==</vt:lpwstr>
  </property>
</Properties>
</file>