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  <w:bookmarkStart w:id="0" w:name="_GoBack"/>
      <w:bookmarkEnd w:id="0"/>
    </w:p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</w:p>
    <w:p>
      <w:pPr>
        <w:overflowPunct w:val="0"/>
        <w:adjustRightInd/>
        <w:spacing w:line="240" w:lineRule="auto"/>
        <w:rPr>
          <w:rFonts w:ascii="方正仿宋_GBK" w:cs="方正仿宋_GBK"/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rPr>
          <w:bCs/>
        </w:rPr>
      </w:pPr>
    </w:p>
    <w:p>
      <w:pPr>
        <w:overflowPunct w:val="0"/>
        <w:adjustRightInd/>
        <w:spacing w:line="240" w:lineRule="auto"/>
        <w:jc w:val="center"/>
        <w:rPr>
          <w:rFonts w:eastAsia="宋体"/>
          <w:kern w:val="2"/>
        </w:rPr>
      </w:pPr>
    </w:p>
    <w:p>
      <w:pPr>
        <w:adjustRightInd/>
        <w:spacing w:line="240" w:lineRule="auto"/>
        <w:jc w:val="both"/>
        <w:rPr>
          <w:i/>
          <w:iCs/>
        </w:rPr>
      </w:pPr>
    </w:p>
    <w:p>
      <w:pPr>
        <w:adjustRightInd/>
        <w:spacing w:line="240" w:lineRule="auto"/>
        <w:jc w:val="center"/>
        <w:rPr>
          <w:rFonts w:eastAsia="宋体"/>
          <w:bCs/>
          <w:iCs/>
          <w:color w:val="auto"/>
        </w:rPr>
      </w:pPr>
      <w:bookmarkStart w:id="1" w:name="approveNum"/>
      <w:r>
        <w:rPr>
          <w:rFonts w:hint="eastAsia"/>
          <w:iCs/>
          <w:color w:val="auto"/>
        </w:rPr>
        <w:t>津发改审</w:t>
      </w:r>
      <w:r>
        <w:rPr>
          <w:rFonts w:ascii="方正仿宋_GBK" w:cs="方正仿宋_GBK"/>
          <w:color w:val="auto"/>
        </w:rPr>
        <w:t>〔</w:t>
      </w:r>
      <w:r>
        <w:rPr>
          <w:rFonts w:ascii="方正仿宋_GBK" w:cs="方正仿宋_GBK" w:hint="eastAsia"/>
          <w:color w:val="auto"/>
        </w:rPr>
        <w:t>2025</w:t>
      </w:r>
      <w:r>
        <w:rPr>
          <w:rFonts w:ascii="方正仿宋_GBK" w:cs="方正仿宋_GBK"/>
          <w:color w:val="auto"/>
        </w:rPr>
        <w:t>〕</w:t>
      </w:r>
      <w:r>
        <w:rPr>
          <w:rFonts w:ascii="方正仿宋_GBK" w:cs="方正仿宋_GBK" w:hint="eastAsia"/>
          <w:color w:val="auto"/>
        </w:rPr>
        <w:t>2</w:t>
      </w:r>
      <w:r>
        <w:rPr>
          <w:rFonts w:ascii="方正仿宋_GBK" w:cs="方正仿宋_GBK" w:hint="eastAsia"/>
          <w:color w:val="auto"/>
          <w:lang w:val="en-US" w:eastAsia="zh-CN"/>
        </w:rPr>
        <w:t>77</w:t>
      </w:r>
      <w:r>
        <w:rPr>
          <w:rFonts w:ascii="方正仿宋_GBK" w:cs="方正仿宋_GBK"/>
          <w:color w:val="auto"/>
        </w:rPr>
        <w:t>号</w:t>
      </w:r>
      <w:bookmarkEnd w:id="1"/>
    </w:p>
    <w:p>
      <w:pPr>
        <w:spacing w:line="240" w:lineRule="auto"/>
        <w:jc w:val="center"/>
        <w:rPr>
          <w:bCs/>
          <w:color w:val="auto"/>
        </w:rPr>
      </w:pP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color w:val="auto"/>
          <w:kern w:val="2"/>
          <w:sz w:val="44"/>
          <w:szCs w:val="44"/>
        </w:rPr>
      </w:pPr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color w:val="auto"/>
          <w:kern w:val="2"/>
          <w:sz w:val="44"/>
          <w:szCs w:val="44"/>
        </w:rPr>
      </w:pPr>
      <w:bookmarkStart w:id="2" w:name="approveUnit"/>
      <w:r>
        <w:rPr>
          <w:rFonts w:eastAsia="方正小标宋_GBK"/>
          <w:color w:val="auto"/>
          <w:kern w:val="2"/>
          <w:sz w:val="44"/>
          <w:szCs w:val="44"/>
        </w:rPr>
        <w:t>重庆市江津区发展和改革委员会</w:t>
      </w:r>
      <w:bookmarkEnd w:id="2"/>
    </w:p>
    <w:p>
      <w:pPr>
        <w:overflowPunct w:val="0"/>
        <w:adjustRightInd/>
        <w:spacing w:line="580" w:lineRule="exact"/>
        <w:jc w:val="center"/>
        <w:textAlignment w:val="auto"/>
        <w:rPr>
          <w:rFonts w:eastAsia="方正小标宋_GBK"/>
          <w:color w:val="auto"/>
          <w:kern w:val="2"/>
          <w:sz w:val="44"/>
          <w:szCs w:val="44"/>
        </w:rPr>
      </w:pPr>
      <w:r>
        <w:rPr>
          <w:rFonts w:eastAsia="方正小标宋_GBK"/>
          <w:color w:val="auto"/>
          <w:kern w:val="2"/>
          <w:sz w:val="44"/>
          <w:szCs w:val="44"/>
        </w:rPr>
        <w:t>关于</w:t>
      </w:r>
      <w:r>
        <w:rPr>
          <w:rFonts w:ascii="Times New Roman" w:eastAsia="方正小标宋_GBK" w:cs="Times New Roman" w:hAnsi="Times New Roman"/>
          <w:i w:val="0"/>
          <w:iCs w:val="0"/>
          <w:caps w:val="0"/>
          <w:smallCaps w:val="0"/>
          <w:color w:val="auto"/>
          <w:spacing w:val="0"/>
          <w:kern w:val="2"/>
          <w:sz w:val="44"/>
          <w:szCs w:val="44"/>
          <w:shd w:val="clear" w:color="auto" w:fill="auto"/>
        </w:rPr>
        <w:t>江津区鼎山街道宝东路建设工程</w:t>
      </w:r>
      <w:r>
        <w:rPr>
          <w:rFonts w:eastAsia="方正小标宋_GBK"/>
          <w:color w:val="auto"/>
          <w:kern w:val="2"/>
          <w:sz w:val="44"/>
          <w:szCs w:val="44"/>
        </w:rPr>
        <w:t>可研</w:t>
      </w:r>
      <w:r>
        <w:rPr>
          <w:rFonts w:eastAsia="方正小标宋_GBK"/>
          <w:color w:val="auto"/>
          <w:kern w:val="2"/>
          <w:sz w:val="44"/>
          <w:szCs w:val="44"/>
        </w:rPr>
        <w:t>的批复</w:t>
      </w:r>
    </w:p>
    <w:p>
      <w:pPr>
        <w:overflowPunct w:val="0"/>
        <w:adjustRightInd/>
        <w:spacing w:line="600" w:lineRule="exact"/>
        <w:textAlignment w:val="auto"/>
        <w:rPr>
          <w:color w:val="auto"/>
          <w:kern w:val="2"/>
        </w:rPr>
      </w:pPr>
    </w:p>
    <w:p>
      <w:pPr>
        <w:overflowPunct w:val="0"/>
        <w:adjustRightInd/>
        <w:spacing w:line="600" w:lineRule="exact"/>
        <w:textAlignment w:val="auto"/>
        <w:rPr>
          <w:color w:val="auto"/>
          <w:kern w:val="2"/>
        </w:rPr>
      </w:pPr>
      <w:bookmarkStart w:id="3" w:name="projectDept"/>
      <w:r>
        <w:rPr>
          <w:color w:val="auto"/>
          <w:kern w:val="2"/>
        </w:rPr>
        <w:t>重庆市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江津区鼎山街道办事处</w:t>
      </w:r>
      <w:bookmarkEnd w:id="3"/>
      <w:r>
        <w:rPr>
          <w:color w:val="auto"/>
          <w:kern w:val="2"/>
        </w:rPr>
        <w:t>：</w:t>
      </w:r>
    </w:p>
    <w:p>
      <w:pPr>
        <w:keepNext w:val="0"/>
        <w:keepLines w:val="0"/>
        <w:widowControl/>
        <w:suppressLineNumbers w:val="0"/>
        <w:overflowPunct w:val="0"/>
        <w:adjustRightInd/>
        <w:spacing w:before="0" w:beforeAutospacing="0" w:after="0" w:afterAutospacing="0" w:line="600" w:lineRule="exact"/>
        <w:ind w:left="0" w:right="0" w:firstLineChars="200" w:firstLine="632"/>
        <w:jc w:val="left"/>
        <w:textAlignment w:val="auto"/>
        <w:rPr>
          <w:color w:val="auto"/>
          <w:kern w:val="2"/>
        </w:rPr>
      </w:pPr>
      <w:r>
        <w:rPr>
          <w:rFonts w:hint="eastAsia"/>
          <w:color w:val="auto"/>
          <w:kern w:val="2"/>
        </w:rPr>
        <w:t>你</w:t>
      </w:r>
      <w:r>
        <w:rPr>
          <w:rFonts w:hint="eastAsia"/>
          <w:color w:val="auto"/>
          <w:kern w:val="2"/>
          <w:lang w:eastAsia="zh-CN"/>
        </w:rPr>
        <w:t>街报来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《关于申请审批</w:t>
      </w:r>
      <w:r>
        <w:rPr>
          <w:rFonts w:ascii="方正仿宋_GBK" w:eastAsia="方正仿宋_GBK" w:cs="方正仿宋_GBK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江津区鼎山街道宝东路建设工程</w:t>
      </w:r>
      <w:r>
        <w:rPr>
          <w:rFonts w:ascii="方正仿宋_GBK" w:cs="方正仿宋_GBK"/>
          <w:color w:val="auto"/>
          <w:kern w:val="2"/>
          <w:sz w:val="32"/>
          <w:szCs w:val="32"/>
          <w:lang w:val="en-US" w:eastAsia="zh-CN"/>
        </w:rPr>
        <w:t>可研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的函》（</w:t>
      </w:r>
      <w:r>
        <w:rPr>
          <w:rFonts w:ascii="方正仿宋_GBK" w:cs="方正仿宋_GBK" w:hint="eastAsia"/>
          <w:color w:val="auto"/>
          <w:kern w:val="2"/>
          <w:sz w:val="32"/>
          <w:szCs w:val="32"/>
          <w:lang w:val="en-US" w:eastAsia="zh-CN"/>
        </w:rPr>
        <w:t>鼎山办函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〔2025〕</w:t>
      </w:r>
      <w:r>
        <w:rPr>
          <w:rFonts w:ascii="方正仿宋_GBK" w:cs="方正仿宋_GBK" w:hint="eastAsia"/>
          <w:color w:val="auto"/>
          <w:kern w:val="2"/>
          <w:sz w:val="32"/>
          <w:szCs w:val="32"/>
          <w:lang w:val="en-US" w:eastAsia="zh-CN"/>
        </w:rPr>
        <w:t>113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号)及</w:t>
      </w:r>
      <w:r>
        <w:rPr>
          <w:rFonts w:ascii="方正仿宋_GBK" w:eastAsia="方正仿宋_GBK" w:cs="方正仿宋_GBK" w:hint="eastAsia"/>
          <w:color w:val="auto"/>
          <w:kern w:val="2"/>
          <w:sz w:val="32"/>
          <w:szCs w:val="32"/>
          <w:lang w:val="en-US" w:eastAsia="zh-CN"/>
        </w:rPr>
        <w:t>相关附件资料</w:t>
      </w:r>
      <w:r>
        <w:rPr>
          <w:color w:val="auto"/>
          <w:kern w:val="2"/>
        </w:rPr>
        <w:t>收悉。</w:t>
      </w:r>
      <w:r>
        <w:rPr>
          <w:rFonts w:hint="eastAsia"/>
          <w:color w:val="auto"/>
          <w:kern w:val="2"/>
        </w:rPr>
        <w:t>根据</w:t>
      </w:r>
      <w:r>
        <w:rPr>
          <w:rFonts w:hint="eastAsia"/>
          <w:color w:val="auto"/>
          <w:kern w:val="2"/>
          <w:lang w:eastAsia="zh-CN"/>
        </w:rPr>
        <w:t>政府投资管理相关规定，结合</w:t>
      </w:r>
      <w:r>
        <w:rPr>
          <w:rFonts w:ascii="方正仿宋_GBK" w:cs="方正仿宋_GBK" w:hint="eastAsia"/>
          <w:color w:val="auto"/>
          <w:kern w:val="2"/>
          <w:sz w:val="32"/>
          <w:szCs w:val="32"/>
          <w:lang w:val="en-US" w:eastAsia="zh-CN"/>
        </w:rPr>
        <w:t>区领导签批意见</w:t>
      </w:r>
      <w:r>
        <w:rPr>
          <w:color w:val="auto"/>
          <w:kern w:val="2"/>
        </w:rPr>
        <w:t>，</w:t>
      </w:r>
      <w:r>
        <w:rPr>
          <w:rFonts w:hint="eastAsia"/>
          <w:color w:val="auto"/>
          <w:kern w:val="2"/>
        </w:rPr>
        <w:t>经研究，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现就有关事宜批复如下：</w:t>
      </w:r>
    </w:p>
    <w:p>
      <w:pPr>
        <w:widowControl/>
        <w:overflowPunct/>
        <w:adjustRightInd/>
        <w:spacing w:line="240" w:lineRule="auto"/>
        <w:ind w:firstLineChars="200" w:firstLine="632"/>
        <w:jc w:val="left"/>
        <w:textAlignment w:val="auto"/>
        <w:rPr>
          <w:color w:val="auto"/>
          <w:kern w:val="2"/>
        </w:rPr>
      </w:pPr>
      <w:r>
        <w:rPr>
          <w:rFonts w:hint="eastAsia"/>
          <w:color w:val="auto"/>
          <w:kern w:val="2"/>
        </w:rPr>
        <w:t>一、</w:t>
      </w:r>
      <w:r>
        <w:rPr>
          <w:rFonts w:ascii="方正仿宋_GBK" w:cs="方正仿宋_GBK"/>
          <w:iCs w:val="0"/>
          <w:color w:val="auto"/>
          <w:kern w:val="2"/>
          <w:lang w:eastAsia="zh-CN"/>
        </w:rPr>
        <w:t>为</w:t>
      </w:r>
      <w:r>
        <w:rPr>
          <w:rFonts w:ascii="方正仿宋_GBK" w:cs="方正仿宋_GBK" w:hint="eastAsia"/>
          <w:iCs w:val="0"/>
          <w:color w:val="auto"/>
          <w:kern w:val="2"/>
          <w:lang w:eastAsia="zh-CN"/>
        </w:rPr>
        <w:t>助力乡村发展</w:t>
      </w:r>
      <w:r>
        <w:rPr>
          <w:rFonts w:ascii="方正仿宋_GBK" w:cs="方正仿宋_GBK"/>
          <w:color w:val="auto"/>
          <w:kern w:val="2"/>
          <w:lang w:eastAsia="zh-CN"/>
        </w:rPr>
        <w:t>，</w:t>
      </w:r>
      <w:r>
        <w:rPr>
          <w:rFonts w:ascii="方正仿宋_GBK" w:cs="方正仿宋_GBK" w:hint="eastAsia"/>
          <w:color w:val="auto"/>
          <w:kern w:val="2"/>
          <w:sz w:val="32"/>
          <w:szCs w:val="32"/>
          <w:lang w:val="en-US" w:eastAsia="zh-CN"/>
        </w:rPr>
        <w:t>改善群众出行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lang w:val="en-US" w:eastAsia="zh-CN"/>
        </w:rPr>
        <w:t>，</w:t>
      </w:r>
      <w:r>
        <w:rPr>
          <w:rFonts w:ascii="方正仿宋_GBK" w:cs="方正仿宋_GBK"/>
          <w:color w:val="auto"/>
          <w:kern w:val="2"/>
        </w:rPr>
        <w:t>同意实施该</w:t>
      </w:r>
      <w:r>
        <w:rPr>
          <w:rFonts w:hint="eastAsia"/>
          <w:color w:val="auto"/>
          <w:kern w:val="2"/>
        </w:rPr>
        <w:t>项目。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ascii="方正仿宋_GBK" w:cs="方正仿宋_GBK" w:hint="eastAsia"/>
          <w:color w:val="auto"/>
          <w:kern w:val="2"/>
        </w:rPr>
      </w:pPr>
      <w:r>
        <w:rPr>
          <w:rFonts w:hint="eastAsia"/>
          <w:color w:val="auto"/>
          <w:kern w:val="32"/>
        </w:rPr>
        <w:t>二、项目代</w:t>
      </w:r>
      <w:r>
        <w:rPr>
          <w:color w:val="auto"/>
          <w:kern w:val="32"/>
        </w:rPr>
        <w:t>码</w:t>
      </w:r>
      <w:r>
        <w:rPr>
          <w:rFonts w:ascii="方正仿宋_GBK" w:cs="方正仿宋_GBK"/>
          <w:color w:val="auto"/>
          <w:kern w:val="2"/>
        </w:rPr>
        <w:t>：</w:t>
      </w:r>
      <w:r>
        <w:rPr>
          <w:rFonts w:ascii="方正仿宋_GBK" w:eastAsia="方正仿宋_GBK" w:cs="方正仿宋_GBK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2510-500116-04-05-455663</w:t>
      </w:r>
      <w:r>
        <w:rPr>
          <w:rFonts w:ascii="方正仿宋_GBK" w:cs="方正仿宋_GBK"/>
          <w:color w:val="auto"/>
          <w:kern w:val="2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auto"/>
          <w:kern w:val="2"/>
        </w:rPr>
      </w:pPr>
      <w:r>
        <w:rPr>
          <w:rFonts w:hint="eastAsia"/>
          <w:color w:val="auto"/>
          <w:kern w:val="32"/>
        </w:rPr>
        <w:t>三、项目法人：</w:t>
      </w:r>
      <w:bookmarkStart w:id="4" w:name="projectDept1"/>
      <w:r>
        <w:rPr>
          <w:color w:val="auto"/>
          <w:kern w:val="2"/>
        </w:rPr>
        <w:t>重庆市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江津区鼎山街道办事处</w:t>
      </w:r>
      <w:bookmarkEnd w:id="4"/>
      <w:r>
        <w:rPr>
          <w:color w:val="auto"/>
          <w:kern w:val="2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auto"/>
          <w:kern w:val="32"/>
        </w:rPr>
      </w:pPr>
      <w:r>
        <w:rPr>
          <w:rFonts w:hint="eastAsia"/>
          <w:color w:val="auto"/>
          <w:kern w:val="32"/>
        </w:rPr>
        <w:t>四、项目建设地点</w:t>
      </w:r>
      <w:r>
        <w:rPr>
          <w:color w:val="auto"/>
          <w:kern w:val="32"/>
        </w:rPr>
        <w:t>：</w:t>
      </w:r>
      <w:bookmarkStart w:id="5" w:name="addressDetail"/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32"/>
          <w:sz w:val="32"/>
          <w:szCs w:val="32"/>
          <w:shd w:val="clear" w:color="auto" w:fill="auto"/>
        </w:rPr>
        <w:t>鼎山街道双宝社区</w:t>
      </w:r>
      <w:bookmarkEnd w:id="5"/>
      <w:r>
        <w:rPr>
          <w:color w:val="auto"/>
          <w:kern w:val="32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hint="eastAsia"/>
          <w:color w:val="auto"/>
          <w:kern w:val="2"/>
        </w:rPr>
      </w:pPr>
      <w:r>
        <w:rPr>
          <w:color w:val="auto"/>
          <w:kern w:val="32"/>
        </w:rPr>
        <w:t>五、</w:t>
      </w:r>
      <w:r>
        <w:rPr>
          <w:color w:val="auto"/>
        </w:rPr>
        <w:t>建设规模、标准及主要建设内容</w:t>
      </w:r>
      <w:r>
        <w:rPr>
          <w:rFonts w:hint="eastAsia"/>
          <w:color w:val="auto"/>
          <w:kern w:val="2"/>
        </w:rPr>
        <w:t>：</w:t>
      </w:r>
      <w:bookmarkStart w:id="6" w:name="scaleContent"/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auto"/>
        </w:rPr>
      </w:pPr>
      <w:bookmarkEnd w:id="6"/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2"/>
          <w:sz w:val="32"/>
          <w:szCs w:val="32"/>
          <w:shd w:val="clear" w:color="auto" w:fill="auto"/>
        </w:rPr>
        <w:t>项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</w:rPr>
        <w:t>目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</w:rPr>
        <w:t>起于宝鼎路丰利二手车行，止于东风水库西北侧，全长约345米，</w:t>
      </w:r>
      <w:r>
        <w:rPr>
          <w:rFonts w:cs="Times New Roman" w:hint="eastAsia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  <w:lang w:eastAsia="zh-CN"/>
        </w:rPr>
        <w:t>按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</w:rPr>
        <w:t>路基宽度7.5米，路面宽度6.5米，路面24cm厚5.5%水泥稳定碎石层+25cm厚C40混凝土</w:t>
      </w:r>
      <w:r>
        <w:rPr>
          <w:rFonts w:cs="Times New Roman" w:hint="eastAsia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  <w:lang w:eastAsia="zh-CN"/>
        </w:rPr>
        <w:t>技术标准建设</w:t>
      </w:r>
      <w:r>
        <w:rPr>
          <w:rFonts w:ascii="Times New Roman" w:eastAsia="方正仿宋_GBK" w:cs="Times New Roman" w:hAnsi="Times New Roman"/>
          <w:i w:val="0"/>
          <w:iCs w:val="0"/>
          <w:caps w:val="0"/>
          <w:smallCaps w:val="0"/>
          <w:color w:val="auto"/>
          <w:spacing w:val="0"/>
          <w:sz w:val="32"/>
          <w:szCs w:val="32"/>
          <w:shd w:val="clear" w:color="auto" w:fill="auto"/>
        </w:rPr>
        <w:t>，同步完善排水及交通设施</w:t>
      </w:r>
      <w:r>
        <w:rPr>
          <w:rFonts w:ascii="Times New Roman" w:eastAsia="方正仿宋_GBK" w:cs="Times New Roman" w:hAnsi="Times New Roman" w:hint="eastAsia"/>
          <w:i w:val="0"/>
          <w:iCs w:val="0"/>
          <w:caps w:val="0"/>
          <w:smallCaps w:val="0"/>
          <w:color w:val="auto"/>
          <w:spacing w:val="0"/>
          <w:kern w:val="0"/>
          <w:sz w:val="32"/>
          <w:szCs w:val="32"/>
          <w:shd w:val="clear" w:color="auto" w:fill="auto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auto"/>
        </w:rPr>
      </w:pPr>
      <w:r>
        <w:rPr>
          <w:color w:val="auto"/>
        </w:rPr>
        <w:t>六、</w:t>
      </w:r>
      <w:r>
        <w:rPr>
          <w:rFonts w:hint="eastAsia"/>
          <w:color w:val="auto"/>
          <w:kern w:val="2"/>
        </w:rPr>
        <w:t>投资估算及资金来源：</w:t>
      </w:r>
      <w:r>
        <w:rPr>
          <w:color w:val="auto"/>
        </w:rPr>
        <w:t>总投资</w:t>
      </w:r>
      <w:r>
        <w:rPr>
          <w:rFonts w:hint="eastAsia"/>
          <w:color w:val="auto"/>
          <w:lang w:val="en-US" w:eastAsia="zh-CN"/>
        </w:rPr>
        <w:t>205.97</w:t>
      </w:r>
      <w:r>
        <w:rPr>
          <w:color w:val="auto"/>
        </w:rPr>
        <w:t>万元，其中</w:t>
      </w:r>
      <w:r>
        <w:rPr>
          <w:rFonts w:hint="eastAsia"/>
          <w:color w:val="auto"/>
          <w:lang w:eastAsia="zh-CN"/>
        </w:rPr>
        <w:t>工程费用</w:t>
      </w:r>
      <w:r>
        <w:rPr>
          <w:rFonts w:hint="eastAsia"/>
          <w:color w:val="auto"/>
          <w:lang w:val="en-US" w:eastAsia="zh-CN"/>
        </w:rPr>
        <w:t>178.76</w:t>
      </w:r>
      <w:r>
        <w:rPr>
          <w:color w:val="auto"/>
        </w:rPr>
        <w:t>万元，工程建设其他费</w:t>
      </w:r>
      <w:r>
        <w:rPr>
          <w:rFonts w:hint="eastAsia"/>
          <w:color w:val="auto"/>
          <w:lang w:val="en-US" w:eastAsia="zh-CN"/>
        </w:rPr>
        <w:t>17.4</w:t>
      </w:r>
      <w:r>
        <w:rPr>
          <w:color w:val="auto"/>
        </w:rPr>
        <w:t>万元，</w:t>
      </w:r>
      <w:r>
        <w:rPr>
          <w:rFonts w:hint="eastAsia"/>
          <w:color w:val="auto"/>
        </w:rPr>
        <w:t>基本</w:t>
      </w:r>
      <w:r>
        <w:rPr>
          <w:color w:val="auto"/>
        </w:rPr>
        <w:t>预备费</w:t>
      </w:r>
      <w:r>
        <w:rPr>
          <w:rFonts w:hint="eastAsia"/>
          <w:color w:val="auto"/>
          <w:lang w:val="en-US" w:eastAsia="zh-CN"/>
        </w:rPr>
        <w:t>9.81</w:t>
      </w:r>
      <w:r>
        <w:rPr>
          <w:color w:val="auto"/>
        </w:rPr>
        <w:t>万元。</w:t>
      </w:r>
      <w:r>
        <w:rPr>
          <w:rFonts w:hint="eastAsia"/>
          <w:color w:val="auto"/>
          <w:kern w:val="2"/>
        </w:rPr>
        <w:t>资金来源为</w:t>
      </w:r>
      <w:r>
        <w:rPr>
          <w:rFonts w:hint="eastAsia"/>
          <w:color w:val="auto"/>
          <w:kern w:val="2"/>
          <w:lang w:eastAsia="zh-CN"/>
        </w:rPr>
        <w:t>项目单位统筹解决</w:t>
      </w:r>
      <w:r>
        <w:rPr>
          <w:rFonts w:hint="eastAsia"/>
          <w:color w:val="auto"/>
          <w:kern w:val="2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auto"/>
        </w:rPr>
      </w:pPr>
      <w:r>
        <w:rPr>
          <w:color w:val="auto"/>
        </w:rPr>
        <w:t>七、建设工期：</w:t>
      </w:r>
      <w:r>
        <w:rPr>
          <w:rFonts w:hint="eastAsia"/>
          <w:color w:val="auto"/>
          <w:lang w:val="en-US" w:eastAsia="zh-CN"/>
        </w:rPr>
        <w:t>3</w:t>
      </w:r>
      <w:r>
        <w:rPr>
          <w:rFonts w:hint="eastAsia"/>
          <w:color w:val="auto"/>
        </w:rPr>
        <w:t>个月</w:t>
      </w:r>
      <w:r>
        <w:rPr>
          <w:color w:val="auto"/>
        </w:rPr>
        <w:t>。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color w:val="auto"/>
        </w:rPr>
      </w:pPr>
      <w:r>
        <w:rPr>
          <w:color w:val="auto"/>
        </w:rPr>
        <w:t>八</w:t>
      </w:r>
      <w:r>
        <w:rPr>
          <w:rFonts w:cs="方正仿宋_GBK" w:hint="eastAsia"/>
          <w:color w:val="auto"/>
          <w:kern w:val="2"/>
        </w:rPr>
        <w:t>、</w:t>
      </w:r>
      <w:r>
        <w:rPr>
          <w:rFonts w:ascii="方正仿宋_GBK" w:eastAsia="方正仿宋_GBK" w:cs="方正仿宋_GBK"/>
          <w:color w:val="auto"/>
          <w:kern w:val="2"/>
          <w:sz w:val="32"/>
          <w:szCs w:val="32"/>
          <w:u w:val="none"/>
          <w:lang w:val="en-US" w:eastAsia="zh-CN"/>
        </w:rPr>
        <w:t>请你单位接文后，按照本</w:t>
      </w:r>
      <w:r>
        <w:rPr>
          <w:rFonts w:ascii="方正仿宋_GBK" w:eastAsia="方正仿宋_GBK" w:cs="方正仿宋_GBK" w:hint="eastAsia"/>
          <w:color w:val="auto"/>
          <w:kern w:val="2"/>
          <w:sz w:val="32"/>
          <w:szCs w:val="32"/>
          <w:u w:val="none"/>
          <w:lang w:val="en-US" w:eastAsia="zh-CN"/>
        </w:rPr>
        <w:t>次批复的建设内容、建设规模、建设标准和投资等开展后续工作，待项目资金落实后方可开工建设，严禁以任何形式违规举债新增政府隐性债务。建设过程中要实行项目法人责任制、招标投标制、工程监理制和合同管理制，切实加强工程管理，确保工程质量、投资、工期控制到位</w:t>
      </w:r>
      <w:r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600" w:lineRule="exact"/>
        <w:ind w:left="0" w:right="0" w:firstLineChars="200" w:firstLine="632"/>
        <w:jc w:val="left"/>
        <w:rPr>
          <w:color w:val="auto"/>
        </w:rPr>
      </w:pPr>
      <w:r>
        <w:rPr>
          <w:rFonts w:ascii="方正仿宋_GBK" w:eastAsia="方正仿宋_GBK" w:cs="方正仿宋_GBK" w:hint="eastAsia"/>
          <w:bCs/>
          <w:color w:val="auto"/>
          <w:kern w:val="2"/>
          <w:sz w:val="32"/>
          <w:szCs w:val="32"/>
          <w:lang w:val="en-US" w:eastAsia="zh-CN"/>
        </w:rPr>
        <w:t xml:space="preserve"> </w:t>
      </w: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60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cs="方正仿宋_GBK"/>
          <w:color w:val="auto"/>
          <w:kern w:val="2"/>
        </w:rPr>
      </w:pPr>
    </w:p>
    <w:p>
      <w:pPr>
        <w:overflowPunct w:val="0"/>
        <w:adjustRightInd/>
        <w:spacing w:line="580" w:lineRule="exact"/>
        <w:ind w:firstLineChars="200" w:firstLine="632"/>
        <w:jc w:val="right"/>
        <w:textAlignment w:val="auto"/>
        <w:rPr>
          <w:color w:val="auto"/>
          <w:kern w:val="2"/>
        </w:rPr>
      </w:pPr>
      <w:bookmarkStart w:id="7" w:name="approveUnit1"/>
      <w:r>
        <w:rPr>
          <w:color w:val="auto"/>
          <w:kern w:val="2"/>
        </w:rPr>
        <w:t>重庆市江津区发展和改革委员会</w:t>
      </w:r>
      <w:bookmarkEnd w:id="7"/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hint="eastAsia"/>
          <w:color w:val="auto"/>
          <w:kern w:val="2"/>
        </w:rPr>
      </w:pPr>
      <w:r>
        <w:rPr>
          <w:color w:val="auto"/>
          <w:kern w:val="2"/>
        </w:rPr>
        <w:t xml:space="preserve">                      </w:t>
      </w:r>
      <w:r>
        <w:rPr>
          <w:rFonts w:hint="eastAsia"/>
          <w:color w:val="auto"/>
          <w:kern w:val="2"/>
        </w:rPr>
        <w:t xml:space="preserve"> </w:t>
      </w:r>
      <w:r>
        <w:rPr>
          <w:color w:val="auto"/>
          <w:kern w:val="2"/>
        </w:rPr>
        <w:t xml:space="preserve"> </w:t>
      </w:r>
      <w:r>
        <w:rPr>
          <w:rFonts w:hint="eastAsia"/>
          <w:color w:val="auto"/>
          <w:kern w:val="2"/>
          <w:lang w:val="en-US" w:eastAsia="zh-CN"/>
        </w:rPr>
        <w:t xml:space="preserve">   </w:t>
      </w:r>
      <w:r>
        <w:rPr>
          <w:color w:val="auto"/>
          <w:kern w:val="2"/>
        </w:rPr>
        <w:t xml:space="preserve">   </w:t>
      </w:r>
      <w:r>
        <w:rPr>
          <w:rFonts w:hint="eastAsia"/>
          <w:color w:val="auto"/>
          <w:kern w:val="2"/>
        </w:rPr>
        <w:t>2025年</w:t>
      </w:r>
      <w:r>
        <w:rPr>
          <w:rFonts w:hint="eastAsia"/>
          <w:color w:val="auto"/>
          <w:kern w:val="2"/>
          <w:lang w:val="en-US" w:eastAsia="zh-CN"/>
        </w:rPr>
        <w:t>10</w:t>
      </w:r>
      <w:r>
        <w:rPr>
          <w:rFonts w:hint="eastAsia"/>
          <w:color w:val="auto"/>
          <w:kern w:val="2"/>
        </w:rPr>
        <w:t>月</w:t>
      </w:r>
      <w:r>
        <w:rPr>
          <w:rFonts w:hint="eastAsia"/>
          <w:color w:val="auto"/>
          <w:kern w:val="2"/>
          <w:lang w:val="en-US" w:eastAsia="zh-CN"/>
        </w:rPr>
        <w:t>21</w:t>
      </w:r>
      <w:r>
        <w:rPr>
          <w:rFonts w:hint="eastAsia"/>
          <w:color w:val="auto"/>
          <w:kern w:val="2"/>
        </w:rPr>
        <w:t xml:space="preserve">日  </w:t>
      </w:r>
    </w:p>
    <w:p>
      <w:pPr>
        <w:overflowPunct w:val="0"/>
        <w:adjustRightInd/>
        <w:spacing w:line="580" w:lineRule="exact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overflowPunct w:val="0"/>
        <w:adjustRightInd/>
        <w:spacing w:line="240" w:lineRule="auto"/>
        <w:ind w:firstLineChars="200" w:firstLine="632"/>
        <w:textAlignment w:val="auto"/>
        <w:rPr>
          <w:rFonts w:hint="eastAsia"/>
          <w:color w:val="auto"/>
          <w:kern w:val="2"/>
        </w:rPr>
      </w:pPr>
    </w:p>
    <w:p>
      <w:pPr>
        <w:pBdr>
          <w:bottom w:val="single" w:sz="4" w:space="0" w:color="auto"/>
        </w:pBdr>
        <w:spacing w:line="500" w:lineRule="exact"/>
        <w:ind w:firstLineChars="1550" w:firstLine="4896"/>
        <w:rPr>
          <w:rFonts w:ascii="方正仿宋_GBK" w:eastAsia="方正仿宋_GBK" w:hint="eastAsia"/>
          <w:color w:val="auto"/>
          <w:sz w:val="32"/>
          <w:szCs w:val="32"/>
        </w:rPr>
      </w:pPr>
    </w:p>
    <w:p>
      <w:pPr>
        <w:tabs>
          <w:tab w:val="left" w:pos="7560"/>
        </w:tabs>
        <w:spacing w:line="500" w:lineRule="exact"/>
        <w:ind w:leftChars="132" w:left="1244" w:hangingChars="300" w:hanging="827"/>
        <w:rPr>
          <w:rFonts w:ascii="方正仿宋_GBK" w:eastAsia="方正仿宋_GBK" w:hint="eastAsia"/>
          <w:color w:val="auto"/>
          <w:sz w:val="28"/>
          <w:szCs w:val="28"/>
        </w:rPr>
      </w:pPr>
      <w:r>
        <w:rPr>
          <w:rFonts w:ascii="方正仿宋_GBK" w:eastAsia="方正仿宋_GBK" w:hint="eastAsia"/>
          <w:color w:val="auto"/>
          <w:sz w:val="28"/>
          <w:szCs w:val="28"/>
        </w:rPr>
        <w:t>抄送：</w:t>
      </w:r>
      <w:r>
        <w:rPr>
          <w:rFonts w:ascii="方正仿宋_GBK" w:hint="eastAsia"/>
          <w:color w:val="auto"/>
          <w:sz w:val="28"/>
          <w:szCs w:val="28"/>
          <w:lang w:eastAsia="zh-CN"/>
        </w:rPr>
        <w:t>江津区规划和自然资源局，区交通运输委、</w:t>
      </w:r>
      <w:r>
        <w:rPr>
          <w:rFonts w:ascii="方正仿宋_GBK" w:eastAsia="方正仿宋_GBK" w:hint="eastAsia"/>
          <w:color w:val="auto"/>
          <w:sz w:val="28"/>
          <w:szCs w:val="28"/>
        </w:rPr>
        <w:t>区财政局、区审计局、区统计局</w:t>
      </w:r>
      <w:r>
        <w:rPr>
          <w:rFonts w:ascii="方正仿宋_GBK" w:eastAsia="方正仿宋_GBK" w:hint="eastAsia"/>
          <w:color w:val="auto"/>
          <w:spacing w:val="40"/>
          <w:sz w:val="28"/>
          <w:szCs w:val="28"/>
        </w:rPr>
        <w:t>。</w:t>
      </w:r>
    </w:p>
    <w:p>
      <w:pPr>
        <w:pBdr>
          <w:top w:val="single" w:sz="4" w:space="1" w:color="auto"/>
          <w:bottom w:val="single" w:sz="4" w:space="1" w:color="auto"/>
        </w:pBdr>
        <w:spacing w:line="500" w:lineRule="exact"/>
        <w:ind w:firstLineChars="100" w:firstLine="276"/>
        <w:rPr>
          <w:rFonts w:ascii="方正仿宋_GBK" w:eastAsia="方正仿宋_GBK" w:hint="eastAsia"/>
          <w:color w:val="auto"/>
          <w:sz w:val="28"/>
          <w:szCs w:val="28"/>
        </w:rPr>
      </w:pPr>
      <w:r>
        <w:rPr>
          <w:rFonts w:ascii="方正仿宋_GBK" w:eastAsia="方正仿宋_GBK" w:hint="eastAsia"/>
          <w:color w:val="auto"/>
          <w:sz w:val="28"/>
          <w:szCs w:val="28"/>
        </w:rPr>
        <w:t>重庆市江津区发展和改革委员会办公室     202</w:t>
      </w:r>
      <w:r>
        <w:rPr>
          <w:rFonts w:ascii="方正仿宋_GBK" w:eastAsia="方正仿宋_GBK" w:hint="eastAsia"/>
          <w:color w:val="auto"/>
          <w:sz w:val="28"/>
          <w:szCs w:val="28"/>
          <w:lang w:val="en-US" w:eastAsia="zh-CN"/>
        </w:rPr>
        <w:t>5</w:t>
      </w:r>
      <w:r>
        <w:rPr>
          <w:rFonts w:ascii="方正仿宋_GBK" w:eastAsia="方正仿宋_GBK" w:hint="eastAsia"/>
          <w:color w:val="auto"/>
          <w:sz w:val="28"/>
          <w:szCs w:val="28"/>
        </w:rPr>
        <w:t>年</w:t>
      </w:r>
      <w:r>
        <w:rPr>
          <w:rFonts w:ascii="方正仿宋_GBK" w:hint="eastAsia"/>
          <w:color w:val="auto"/>
          <w:sz w:val="28"/>
          <w:szCs w:val="28"/>
          <w:lang w:val="en-US" w:eastAsia="zh-CN"/>
        </w:rPr>
        <w:t>10</w:t>
      </w:r>
      <w:r>
        <w:rPr>
          <w:rFonts w:ascii="方正仿宋_GBK" w:eastAsia="方正仿宋_GBK" w:hint="eastAsia"/>
          <w:color w:val="auto"/>
          <w:sz w:val="28"/>
          <w:szCs w:val="28"/>
        </w:rPr>
        <w:t>月</w:t>
      </w:r>
      <w:r>
        <w:rPr>
          <w:rFonts w:ascii="方正仿宋_GBK" w:hint="eastAsia"/>
          <w:color w:val="auto"/>
          <w:sz w:val="28"/>
          <w:szCs w:val="28"/>
          <w:lang w:val="en-US" w:eastAsia="zh-CN"/>
        </w:rPr>
        <w:t>21</w:t>
      </w:r>
      <w:r>
        <w:rPr>
          <w:rFonts w:ascii="方正仿宋_GBK" w:eastAsia="方正仿宋_GBK" w:hint="eastAsia"/>
          <w:color w:val="auto"/>
          <w:sz w:val="28"/>
          <w:szCs w:val="28"/>
        </w:rPr>
        <w:t>日印发</w:t>
      </w:r>
    </w:p>
    <w:p>
      <w:pPr>
        <w:spacing w:line="240" w:lineRule="auto"/>
        <w:rPr>
          <w:color w:val="auto"/>
          <w:sz w:val="28"/>
          <w:szCs w:val="28"/>
        </w:rPr>
      </w:pPr>
    </w:p>
    <w:sectPr>
      <w:footerReference w:type="default" r:id="rId2"/>
      <w:footerReference w:type="even" r:id="rId3"/>
      <w:pgSz w:w="11906" w:h="16838"/>
      <w:pgMar w:top="2098" w:right="1531" w:bottom="1984" w:left="1531" w:header="851" w:footer="1417" w:gutter="0"/>
      <w:docGrid w:type="linesAndChars" w:linePitch="579" w:charSpace="-84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Times New Roman">
    <w:panose1 w:val="02020603050405020304"/>
    <w:charset w:val="01"/>
    <w:family w:val="auto"/>
    <w:pitch w:val="variable"/>
    <w:sig w:usb0="E0002AFF" w:usb1="C0007841" w:usb2="00000009" w:usb3="00000000" w:csb0="400001FF" w:csb1="FFFF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jc w:val="right"/>
      <w:rPr>
        <w:rFonts w:eastAsia="Times New Roman"/>
        <w:sz w:val="18"/>
      </w:rPr>
    </w:pPr>
    <w:r>
      <w:rPr>
        <w:sz w:val="18"/>
      </w:rPr>
      <mc:AlternateContent>
        <mc:Choice Requires="wps">
          <w:drawing>
            <wp:anchor distT="0" distB="0" distL="114298" distR="114298" simplePos="0" relativeHeight="10" behindDoc="0" locked="0" layoutInCell="1" hidden="0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251"/>
              <wp:effectExtent l="0" t="0" r="0" b="0"/>
              <wp:wrapNone/>
              <wp:docPr id="1" name="文本框 1"/>
              <wp:cNvGraphicFramePr>
                <a:graphicFrameLocks noChangeAspect="0"/>
              </wp:cNvGraphicFramePr>
              <a:graphic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22300" cy="230251"/>
                      </a:xfrm>
                      <a:prstGeom prst="rect"/>
                      <a:noFill/>
                      <a:ln w="9525" cmpd="sng" cap="flat">
                        <a:noFill/>
                        <a:prstDash val="solid"/>
                        <a:round/>
                      </a:ln>
                    </wps:spPr>
                    <wps:txbx id="2">
                      <w:txbxContent>
                        <w:p>
                          <w:pPr>
                            <w:pStyle w:val="16"/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eastAsia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type="#_x0000_t202" id="文本框 3" o:spid="_x0000_s3" filled="f" stroked="f" style="position:absolute;margin-left:0.0pt;margin-top:0.0pt;width:49.000004pt;height:18.130003pt;z-index:10;mso-position-horizontal:outside;mso-position-horizontal-relative:margin;mso-position-vertical:absolute;mso-wrap-distance-left:8.999863pt;mso-wrap-distance-right:8.999863pt;mso-wrap-style:none;">
              <v:stroke color="#000000"/>
              <v:textbox id="848" inset="0mm,0mm,0mm,0mm" o:insetmode="custom" style="layout-flow:horizontal;v-text-anchor:top;mso-fit-shape-to-text:t;">
                <w:txbxContent>
                  <w:p>
                    <w:pPr>
                      <w:pStyle w:val="16"/>
                      <w:tabs>
                        <w:tab w:val="center" w:pos="4153"/>
                        <w:tab w:val="right" w:pos="8306"/>
                      </w:tabs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eastAsia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eastAsia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>
  <w:p>
    <w:pPr>
      <w:jc w:val="right"/>
      <w:rPr>
        <w:rFonts w:eastAsia="Times New Roman"/>
        <w:sz w:val="18"/>
      </w:rPr>
    </w:pPr>
    <w:r>
      <w:rPr>
        <w:rFonts w:eastAsia="Times New Roman"/>
        <w:sz w:val="18"/>
      </w:rPr>
      <w:fldChar w:fldCharType="begin"/>
    </w:r>
    <w:r>
      <w:rPr>
        <w:rFonts w:eastAsia="Times New Roman"/>
        <w:sz w:val="18"/>
      </w:rPr>
      <w:instrText xml:space="preserve"> PAGE </w:instrText>
    </w:r>
    <w:r>
      <w:rPr>
        <w:rFonts w:eastAsia="Times New Roman"/>
        <w:sz w:val="18"/>
      </w:rPr>
      <w:fldChar w:fldCharType="separate"/>
    </w:r>
    <w:r>
      <w:rPr>
        <w:rFonts w:eastAsia="Times New Roman"/>
        <w:sz w:val="18"/>
      </w:rPr>
      <w:fldChar w:fldCharType="end"/>
    </w: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oNotDisplayPageBoundaries/>
  <w:bordersDoNotSurroundHeader w:val="0"/>
  <w:bordersDoNotSurroundFooter w:val="0"/>
  <w:trackRevisions/>
  <w:defaultTabStop w:val="425"/>
  <w:drawingGridHorizontalSpacing w:val="158"/>
  <w:drawingGridVerticalSpacing w:val="290"/>
  <w:displayHorizontalDrawingGridEvery w:val="1"/>
  <w:displayVerticalDrawingGridEvery w:val="1"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ulTrailSpace/>
    <w:doNotExpandShiftReturn/>
    <w:growAutofit/>
    <w:doNotUseIndentAsNumberingTabStop/>
    <w:useAltKinsokuLineBreakRules/>
    <w:splitPgBreakAndParaMark/>
    <w:compatSetting w:name="compatibilityMode" w:uri="http://schemas.microsoft.com/office/word" w:val="14"/>
  </w:compat>
  <w:docVars>
    <w:docVars w:name="commondata" w:val="eyJoZGlkIjoiNGVjODIzZDc3YmU5Zjg1ZDg1NzA1MDQxYWNkZjZlZDA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方正仿宋_GBK" w:cs="Times New Roman" w:hAnsi="Times New Roman"/>
      <w:sz w:val="32"/>
      <w:szCs w:val="32"/>
      <w:lang w:val="en-US" w:eastAsia="zh-CN" w:bidi="ar-SA"/>
    </w:rPr>
  </w:style>
  <w:style w:type="character" w:default="1" w:styleId="10">
    <w:name w:val="Default Paragraph Font"/>
  </w:style>
  <w:style w:type="paragraph" w:styleId="15">
    <w:name w:val="Balloon Text"/>
    <w:basedOn w:val="0"/>
    <w:rPr>
      <w:sz w:val="18"/>
      <w:szCs w:val="18"/>
    </w:rPr>
  </w:style>
  <w:style w:type="paragraph" w:styleId="16">
    <w:name w:val="footer"/>
    <w:basedOn w:val="0"/>
    <w:pPr>
      <w:tabs>
        <w:tab w:val="center" w:pos="4153"/>
        <w:tab w:val="right" w:pos="8306"/>
      </w:tabs>
      <w:adjustRightInd w:val="0"/>
      <w:snapToGrid w:val="0"/>
      <w:spacing w:line="240" w:lineRule="atLeast"/>
      <w:jc w:val="left"/>
    </w:pPr>
    <w:rPr>
      <w:sz w:val="18"/>
      <w:szCs w:val="18"/>
    </w:rPr>
  </w:style>
  <w:style w:type="paragraph" w:styleId="17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adjustRightInd w:val="0"/>
      <w:snapToGrid w:val="0"/>
      <w:spacing w:line="240" w:lineRule="atLeast"/>
      <w:jc w:val="center"/>
    </w:pPr>
    <w:rPr>
      <w:sz w:val="18"/>
      <w:szCs w:val="18"/>
    </w:rPr>
  </w:style>
  <w:style w:type="character" w:styleId="18">
    <w:name w:val="page number"/>
    <w:basedOn w:val="1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236</TotalTime>
  <Application>Yozo_Office</Application>
  <Pages>3</Pages>
  <Words>612</Words>
  <Characters>689</Characters>
  <Lines>63</Lines>
  <Paragraphs>18</Paragraphs>
  <CharactersWithSpaces>727</CharactersWithSpaces>
  <Company>jw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批复文件</dc:title>
  <dc:creator>jw</dc:creator>
  <cp:lastModifiedBy>Microsoft</cp:lastModifiedBy>
  <cp:revision>0</cp:revision>
  <cp:lastPrinted>2025-10-20T03:45:23Z</cp:lastPrinted>
  <dcterms:created xsi:type="dcterms:W3CDTF">2025-08-06T17:08:00Z</dcterms:created>
  <dcterms:modified xsi:type="dcterms:W3CDTF">2025-11-06T06:13:09Z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ICV">
    <vt:lpwstr>E0ED0A6AA7D54EF4A62E0EC45167AB15</vt:lpwstr>
  </property>
  <property fmtid="{D5CDD505-2E9C-101B-9397-08002B2CF9AE}" pid="3" name="KSOProductBuildVer">
    <vt:lpwstr>2052-11.1.0.13703</vt:lpwstr>
  </property>
  <property fmtid="{D5CDD505-2E9C-101B-9397-08002B2CF9AE}" pid="4" name="KSOTemplateDocerSaveRecord">
    <vt:lpwstr>eyJoZGlkIjoiMjViODE3N2ZhNWY1ZjA5YmVmMzViYWZhNjNmNjA4ZTIiLCJ1c2VySWQiOiI1MDcyMjY1NjEifQ==</vt:lpwstr>
  </property>
</Properties>
</file>