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</w:rPr>
      </w:pPr>
      <w:bookmarkStart w:id="1" w:name="approveNum"/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24</w:t>
      </w:r>
      <w:r>
        <w:rPr>
          <w:rFonts w:ascii="方正仿宋_GBK" w:cs="方正仿宋_GBK" w:hint="eastAsia"/>
          <w:lang w:val="en-US" w:eastAsia="zh-CN"/>
        </w:rPr>
        <w:t>8</w:t>
      </w:r>
      <w:r>
        <w:rPr>
          <w:rFonts w:ascii="方正仿宋_GBK" w:cs="方正仿宋_GBK"/>
        </w:rPr>
        <w:t>号</w:t>
      </w:r>
      <w:bookmarkEnd w:id="1"/>
    </w:p>
    <w:p>
      <w:pPr>
        <w:spacing w:line="240" w:lineRule="auto"/>
        <w:jc w:val="center"/>
        <w:rPr>
          <w:bCs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bookmarkStart w:id="2" w:name="approveUnit"/>
      <w:r>
        <w:rPr>
          <w:rFonts w:eastAsia="方正小标宋_GBK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关于江津区四面山镇2026年度市级美丽移民村建设项目</w:t>
      </w:r>
      <w:r>
        <w:rPr>
          <w:rFonts w:eastAsia="方正小标宋_GBK" w:hint="eastAsia"/>
          <w:kern w:val="2"/>
          <w:sz w:val="44"/>
          <w:szCs w:val="44"/>
        </w:rPr>
        <w:t>可研</w:t>
      </w:r>
      <w:r>
        <w:rPr>
          <w:rFonts w:eastAsia="方正小标宋_GBK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580" w:lineRule="exact"/>
        <w:textAlignment w:val="auto"/>
        <w:rPr>
          <w:kern w:val="2"/>
        </w:rPr>
      </w:pPr>
    </w:p>
    <w:p>
      <w:pPr>
        <w:overflowPunct w:val="0"/>
        <w:adjustRightInd/>
        <w:spacing w:line="580" w:lineRule="exact"/>
        <w:textAlignment w:val="auto"/>
        <w:rPr>
          <w:kern w:val="2"/>
        </w:rPr>
      </w:pPr>
      <w:bookmarkStart w:id="3" w:name="projectDept"/>
      <w:r>
        <w:rPr>
          <w:kern w:val="2"/>
        </w:rPr>
        <w:t>重庆市江津区四面山镇人民政府</w:t>
      </w:r>
      <w:bookmarkEnd w:id="3"/>
      <w:r>
        <w:rPr>
          <w:rFonts w:hint="eastAsia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580" w:lineRule="exact"/>
        <w:ind w:left="0" w:right="0" w:firstLineChars="200" w:firstLine="632"/>
        <w:jc w:val="left"/>
        <w:textAlignment w:val="auto"/>
        <w:rPr>
          <w:kern w:val="2"/>
        </w:rPr>
      </w:pPr>
      <w:r>
        <w:rPr>
          <w:rFonts w:hint="eastAsia"/>
          <w:kern w:val="2"/>
        </w:rPr>
        <w:t>你</w:t>
      </w:r>
      <w:r>
        <w:rPr>
          <w:rFonts w:hint="eastAsia"/>
          <w:kern w:val="2"/>
          <w:lang w:eastAsia="zh-CN"/>
        </w:rPr>
        <w:t>镇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《关于申请审批江津区四面山镇2026年度市级美丽移民村建设项目</w:t>
      </w:r>
      <w:r>
        <w:rPr>
          <w:rFonts w:ascii="方正仿宋_GBK" w:cs="方正仿宋_GBK" w:hint="eastAsia"/>
          <w:kern w:val="2"/>
          <w:sz w:val="32"/>
          <w:szCs w:val="32"/>
          <w:lang w:val="en-US"/>
        </w:rPr>
        <w:t>可研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的函》（</w:t>
      </w:r>
      <w:r>
        <w:rPr>
          <w:rFonts w:ascii="方正仿宋_GBK" w:cs="方正仿宋_GBK" w:hint="eastAsia"/>
          <w:kern w:val="2"/>
          <w:sz w:val="32"/>
          <w:szCs w:val="32"/>
          <w:lang w:val="en-US"/>
        </w:rPr>
        <w:t>四面山府函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/>
        </w:rPr>
        <w:t>6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6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号)及相关附件资料</w:t>
      </w:r>
      <w:r>
        <w:rPr>
          <w:kern w:val="2"/>
        </w:rPr>
        <w:t>收悉。</w:t>
      </w:r>
      <w:r>
        <w:rPr>
          <w:rFonts w:hint="eastAsia"/>
          <w:kern w:val="2"/>
        </w:rPr>
        <w:t>根据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关规定</w:t>
      </w:r>
      <w:r>
        <w:rPr>
          <w:kern w:val="2"/>
        </w:rPr>
        <w:t>，</w:t>
      </w:r>
      <w:r>
        <w:rPr>
          <w:rFonts w:hint="eastAsia"/>
          <w:kern w:val="2"/>
        </w:rPr>
        <w:t>经研究，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现就有关事宜批复如下：</w:t>
      </w:r>
      <w:r>
        <w:rPr>
          <w:kern w:val="2"/>
        </w:rPr>
        <w:t>：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2"/>
        </w:rPr>
        <w:t>一、</w:t>
      </w:r>
      <w:r>
        <w:rPr>
          <w:rFonts w:hint="eastAsia"/>
          <w:iCs/>
          <w:kern w:val="2"/>
        </w:rPr>
        <w:t>为</w:t>
      </w:r>
      <w:r>
        <w:rPr>
          <w:rFonts w:hint="eastAsia"/>
          <w:kern w:val="2"/>
          <w:lang w:eastAsia="zh-CN"/>
        </w:rPr>
        <w:t>加快推进社会主义生态文明建设和美丽乡村建设，切实改善移民群众居住和生产生活条件，</w:t>
      </w:r>
      <w:r>
        <w:rPr>
          <w:rFonts w:hint="eastAsia"/>
          <w:kern w:val="2"/>
        </w:rPr>
        <w:t>同意实施该项目。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二、项目代码：2507-500116-04-01-976191。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32"/>
        </w:rPr>
        <w:t>三、项目法人：</w:t>
      </w:r>
      <w:bookmarkStart w:id="4" w:name="projectDept1"/>
      <w:r>
        <w:rPr>
          <w:kern w:val="32"/>
        </w:rPr>
        <w:t>重庆市江津区四面山镇人民政府</w:t>
      </w:r>
      <w:bookmarkEnd w:id="4"/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四、项目建设地点：</w:t>
      </w:r>
      <w:bookmarkStart w:id="5" w:name="addressDetail"/>
      <w:r>
        <w:rPr>
          <w:kern w:val="32"/>
        </w:rPr>
        <w:t>江津区四面山镇</w:t>
      </w:r>
      <w:bookmarkEnd w:id="5"/>
      <w:r>
        <w:rPr>
          <w:rFonts w:hint="eastAsia"/>
          <w:kern w:val="32"/>
        </w:rPr>
        <w:t>。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32"/>
        </w:rPr>
        <w:t>五、</w:t>
      </w:r>
      <w:r>
        <w:t>建设规模、标准及主要建设内容</w:t>
      </w:r>
      <w:r>
        <w:rPr>
          <w:rFonts w:hint="eastAsia"/>
          <w:kern w:val="2"/>
        </w:rPr>
        <w:t>：</w:t>
      </w:r>
      <w:bookmarkStart w:id="6" w:name="scaleContent"/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color w:val="000000"/>
        </w:rPr>
      </w:pPr>
      <w:bookmarkEnd w:id="6"/>
      <w:r>
        <w:rPr>
          <w:color w:val="000000"/>
        </w:rPr>
        <w:t>头道河社区红枫林至双凤村场口约16km安装太阳能路灯约220盏、二台还房处0.4km安装太阳能路灯约80盏；凤四路头道河社区辖区内病害路段路面整治4处；水管站沿河步道整治150m，新建路灯10盏，支沟栏杆更换60m。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林海村土地岩、大洪海码头、跨省山庄、大湾、黑凼子、长岩子、马家庄、桃花岛、小洪海、大湾等地点安装太阳能路灯约650盏；周家沟广场运动设施更换，绿化带整治0.2km；林海村大湾、小湾及肖家坝三处水源工程清淤、渗漏整治。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六、</w:t>
      </w:r>
      <w:r>
        <w:rPr>
          <w:rFonts w:hint="eastAsia"/>
          <w:kern w:val="2"/>
        </w:rPr>
        <w:t>投资估算及资金来源：</w:t>
      </w:r>
      <w:r>
        <w:rPr>
          <w:color w:val="000000"/>
        </w:rPr>
        <w:t>总投资</w:t>
      </w:r>
      <w:r>
        <w:rPr>
          <w:rFonts w:hint="eastAsia"/>
          <w:color w:val="000000"/>
          <w:lang w:val="en-US" w:eastAsia="zh-CN"/>
        </w:rPr>
        <w:t>599.66</w:t>
      </w:r>
      <w:r>
        <w:rPr>
          <w:color w:val="000000"/>
        </w:rPr>
        <w:t>万元，其中建筑安装工程费</w:t>
      </w:r>
      <w:r>
        <w:rPr>
          <w:rFonts w:hint="eastAsia"/>
          <w:color w:val="000000"/>
          <w:lang w:val="en-US" w:eastAsia="zh-CN"/>
        </w:rPr>
        <w:t>491.29</w:t>
      </w:r>
      <w:r>
        <w:rPr>
          <w:color w:val="000000"/>
        </w:rPr>
        <w:t>万元，工程建设其他费</w:t>
      </w:r>
      <w:r>
        <w:rPr>
          <w:rFonts w:hint="eastAsia"/>
          <w:color w:val="000000"/>
          <w:lang w:val="en-US" w:eastAsia="zh-CN"/>
        </w:rPr>
        <w:t>79.81</w:t>
      </w:r>
      <w:r>
        <w:rPr>
          <w:color w:val="000000"/>
        </w:rPr>
        <w:t>万元，</w:t>
      </w:r>
      <w:r>
        <w:rPr>
          <w:rFonts w:hint="eastAsia"/>
          <w:color w:val="000000"/>
        </w:rPr>
        <w:t>基本</w:t>
      </w:r>
      <w:r>
        <w:rPr>
          <w:color w:val="000000"/>
        </w:rPr>
        <w:t>预备费</w:t>
      </w:r>
      <w:r>
        <w:rPr>
          <w:rFonts w:hint="eastAsia"/>
          <w:color w:val="000000"/>
          <w:lang w:val="en-US" w:eastAsia="zh-CN"/>
        </w:rPr>
        <w:t>28.56</w:t>
      </w:r>
      <w:r>
        <w:rPr>
          <w:color w:val="000000"/>
        </w:rPr>
        <w:t>万元。</w:t>
      </w:r>
      <w:r>
        <w:rPr>
          <w:rFonts w:hint="eastAsia"/>
          <w:kern w:val="2"/>
        </w:rPr>
        <w:t>资金来源为争取</w:t>
      </w:r>
      <w:r>
        <w:rPr>
          <w:rFonts w:hint="eastAsia"/>
          <w:kern w:val="2"/>
          <w:lang w:eastAsia="zh-CN"/>
        </w:rPr>
        <w:t>大中型水库后期扶持资金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七、建设工期：</w:t>
      </w:r>
      <w:r>
        <w:rPr>
          <w:rFonts w:hint="eastAsia"/>
          <w:color w:val="000000"/>
          <w:lang w:val="en-US" w:eastAsia="zh-CN"/>
        </w:rPr>
        <w:t>9</w:t>
      </w:r>
      <w:r>
        <w:rPr>
          <w:rFonts w:hint="eastAsia"/>
          <w:color w:val="000000"/>
        </w:rPr>
        <w:t>个月</w:t>
      </w:r>
      <w:r>
        <w:rPr>
          <w:color w:val="000000"/>
        </w:rPr>
        <w:t>。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kern w:val="2"/>
        </w:rPr>
      </w:pPr>
      <w:r>
        <w:rPr>
          <w:color w:val="000000"/>
        </w:rPr>
        <w:t>八、招标</w:t>
      </w:r>
      <w:r>
        <w:rPr>
          <w:rFonts w:hint="eastAsia"/>
          <w:color w:val="000000"/>
        </w:rPr>
        <w:t>核准</w:t>
      </w:r>
      <w:r>
        <w:rPr>
          <w:color w:val="000000"/>
        </w:rPr>
        <w:t>：</w:t>
      </w:r>
      <w:r>
        <w:rPr>
          <w:rFonts w:hint="eastAsia"/>
          <w:color w:val="000000"/>
        </w:rPr>
        <w:t>详见附表</w:t>
      </w:r>
      <w:r>
        <w:rPr>
          <w:rFonts w:cs="方正仿宋_GBK" w:hint="eastAsia"/>
          <w:kern w:val="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Chars="200" w:firstLine="632"/>
        <w:jc w:val="left"/>
      </w:pPr>
      <w:r>
        <w:rPr>
          <w:rFonts w:cs="方正仿宋_GBK" w:hint="eastAsia"/>
          <w:kern w:val="2"/>
        </w:rPr>
        <w:t>九、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Chars="200" w:firstLine="632"/>
        <w:jc w:val="left"/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Chars="200" w:firstLine="632"/>
        <w:jc w:val="left"/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附件：招标投标核准意见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jc w:val="right"/>
        <w:textAlignment w:val="auto"/>
        <w:rPr>
          <w:kern w:val="2"/>
        </w:rPr>
      </w:pPr>
      <w:bookmarkStart w:id="7" w:name="approveUnit1"/>
      <w:r>
        <w:rPr>
          <w:kern w:val="2"/>
        </w:rPr>
        <w:t>重庆市江津区发展和改革委员会</w:t>
      </w:r>
      <w:bookmarkEnd w:id="7"/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2"/>
        </w:rPr>
        <w:t xml:space="preserve">                     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   </w:t>
      </w:r>
      <w:r>
        <w:rPr>
          <w:rFonts w:hint="eastAsia"/>
          <w:kern w:val="2"/>
        </w:rPr>
        <w:t>2025年8月</w:t>
      </w:r>
      <w:r>
        <w:rPr>
          <w:rFonts w:hint="eastAsia"/>
          <w:kern w:val="2"/>
          <w:lang w:val="en-US" w:eastAsia="zh-CN"/>
        </w:rPr>
        <w:t>22</w:t>
      </w:r>
      <w:r>
        <w:rPr>
          <w:rFonts w:hint="eastAsia"/>
          <w:kern w:val="2"/>
        </w:rPr>
        <w:t xml:space="preserve">日  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抄送：区财政局、</w:t>
      </w:r>
      <w:r>
        <w:rPr>
          <w:rFonts w:ascii="方正仿宋_GBK" w:eastAsia="方正仿宋_GBK" w:hint="eastAsia"/>
          <w:sz w:val="28"/>
          <w:szCs w:val="28"/>
          <w:lang w:eastAsia="zh-CN"/>
        </w:rPr>
        <w:t>区</w:t>
      </w:r>
      <w:r>
        <w:rPr>
          <w:rFonts w:ascii="方正仿宋_GBK" w:hint="eastAsia"/>
          <w:sz w:val="28"/>
          <w:szCs w:val="28"/>
          <w:lang w:eastAsia="zh-CN"/>
        </w:rPr>
        <w:t>水利局</w:t>
      </w:r>
      <w:r>
        <w:rPr>
          <w:rFonts w:ascii="方正仿宋_GBK" w:eastAsia="方正仿宋_GBK" w:hint="eastAsia"/>
          <w:sz w:val="28"/>
          <w:szCs w:val="28"/>
          <w:lang w:eastAsia="zh-CN"/>
        </w:rPr>
        <w:t>、</w:t>
      </w:r>
      <w:r>
        <w:rPr>
          <w:rFonts w:ascii="方正仿宋_GBK" w:eastAsia="方正仿宋_GBK" w:hint="eastAsia"/>
          <w:sz w:val="28"/>
          <w:szCs w:val="28"/>
        </w:rPr>
        <w:t>区审计局、区统计局</w:t>
      </w:r>
      <w:r>
        <w:rPr>
          <w:rFonts w:ascii="方正仿宋_GBK" w:eastAsia="方正仿宋_GBK" w:hint="eastAsia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  <w:lang w:val="en-US" w:eastAsia="zh-CN"/>
        </w:rPr>
        <w:t>8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  <w:lang w:val="en-US" w:eastAsia="zh-CN"/>
        </w:rPr>
        <w:t>22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>
      <w:pPr>
        <w:keepNext w:val="0"/>
        <w:keepLines w:val="0"/>
        <w:widowControl/>
        <w:suppressLineNumbers w:val="0"/>
        <w:spacing w:beforeAutospacing="1" w:afterAutospacing="1"/>
        <w:ind w:left="0"/>
        <w:jc w:val="left"/>
      </w:pPr>
      <w:r>
        <w:rPr>
          <w:rFonts w:ascii="方正黑体_GBK" w:eastAsia="方正黑体_GBK" w:cs="方正黑体_GBK"/>
          <w:kern w:val="2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exact"/>
        <w:ind w:left="0"/>
        <w:jc w:val="center"/>
      </w:pPr>
      <w:r>
        <w:rPr>
          <w:rFonts w:ascii="方正小标宋_GBK" w:eastAsia="方正小标宋_GBK" w:cs="方正小标宋_GBK" w:hint="eastAsia"/>
          <w:spacing w:val="28"/>
          <w:kern w:val="2"/>
          <w:sz w:val="32"/>
          <w:szCs w:val="32"/>
          <w:lang w:val="en-US" w:eastAsia="zh-CN"/>
        </w:rPr>
        <w:t>江津区四面山镇2026年度市级美丽移民村建设项目招标投标核准意见</w:t>
      </w:r>
    </w:p>
    <w:tbl>
      <w:tblPr>
        <w:jc w:val="center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74"/>
        <w:gridCol w:w="1165"/>
        <w:gridCol w:w="1132"/>
        <w:gridCol w:w="1156"/>
        <w:gridCol w:w="1132"/>
        <w:gridCol w:w="1122"/>
        <w:gridCol w:w="1154"/>
      </w:tblGrid>
      <w:tr>
        <w:trPr>
          <w:trHeight w:val="724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招标范围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招标组织形式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招标方式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不采用招标方式</w:t>
            </w:r>
          </w:p>
        </w:tc>
      </w:tr>
      <w:tr>
        <w:trPr>
          <w:trHeight w:val="604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全部招标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部分招标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自行招标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委托招标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邀请招标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施工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75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both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重要材料及设备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cantSplit/>
          <w:trHeight w:val="3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审批部门核准意见说明：</w:t>
            </w:r>
            <w:r>
              <w:rPr>
                <w:rFonts w:ascii="方正仿宋_GBK" w:eastAsia="方正仿宋_GBK" w:cs="Times New Roman" w:hint="eastAsia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00" w:firstLine="412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核准。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exact"/>
              <w:ind w:left="0" w:firstLine="390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请按照《中华人民共和国招标投标法》等法律法规、规章和相关规定，规范招标投标行为。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450" w:firstLine="5043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重庆市江津区发展和改革委员会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700" w:firstLine="5558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2025年</w:t>
            </w:r>
            <w:r>
              <w:rPr>
                <w:rFonts w:ascii="方正仿宋_GBK" w:cs="方正仿宋_GBK" w:hint="eastAsia"/>
                <w:kern w:val="2"/>
                <w:sz w:val="21"/>
                <w:szCs w:val="21"/>
                <w:lang w:val="en-US"/>
              </w:rPr>
              <w:t>8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方正仿宋_GBK" w:cs="方正仿宋_GBK" w:hint="eastAsia"/>
                <w:kern w:val="2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240" w:lineRule="auto"/>
        <w:rPr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doNotBreakWrappedTables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zk1NTllODc5MzdhMGE5N2NmYTZmZGNlYjczYzMyOG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</Application>
  <Pages>4</Pages>
  <Words>946</Words>
  <Characters>1039</Characters>
  <Lines>126</Lines>
  <Paragraphs>50</Paragraphs>
  <CharactersWithSpaces>1105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2025-08-22T00:11:05Z</cp:lastPrinted>
  <dcterms:created xsi:type="dcterms:W3CDTF">2025-08-06T17:08:00Z</dcterms:created>
  <dcterms:modified xsi:type="dcterms:W3CDTF">2025-08-28T02:18:38Z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F94E67BC60816CE0027399680EE15622_43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