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  <w:bookmarkStart w:id="0" w:name="_GoBack"/>
      <w:bookmarkEnd w:id="0"/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i/>
          <w:iCs/>
        </w:rPr>
      </w:pPr>
    </w:p>
    <w:p>
      <w:pPr>
        <w:adjustRightInd/>
        <w:spacing w:line="240" w:lineRule="auto"/>
        <w:jc w:val="center"/>
        <w:rPr>
          <w:rFonts w:eastAsia="宋体"/>
          <w:bCs/>
          <w:iCs/>
        </w:rPr>
      </w:pPr>
      <w:bookmarkStart w:id="1" w:name="approveNum"/>
      <w:r>
        <w:rPr>
          <w:rFonts w:hint="eastAsia"/>
          <w:iCs/>
        </w:rPr>
        <w:t>津发改审</w:t>
      </w:r>
      <w:r>
        <w:rPr>
          <w:rFonts w:ascii="方正仿宋_GBK" w:cs="方正仿宋_GBK"/>
        </w:rPr>
        <w:t>〔</w:t>
      </w:r>
      <w:r>
        <w:rPr>
          <w:rFonts w:ascii="方正仿宋_GBK" w:cs="方正仿宋_GBK" w:hint="eastAsia"/>
        </w:rPr>
        <w:t>2025</w:t>
      </w:r>
      <w:r>
        <w:rPr>
          <w:rFonts w:ascii="方正仿宋_GBK" w:cs="方正仿宋_GBK"/>
        </w:rPr>
        <w:t>〕</w:t>
      </w:r>
      <w:r>
        <w:rPr>
          <w:rFonts w:ascii="方正仿宋_GBK" w:cs="方正仿宋_GBK" w:hint="eastAsia"/>
        </w:rPr>
        <w:t>24</w:t>
      </w:r>
      <w:r>
        <w:rPr>
          <w:rFonts w:ascii="方正仿宋_GBK" w:cs="方正仿宋_GBK" w:hint="eastAsia"/>
          <w:lang w:val="en-US" w:eastAsia="zh-CN"/>
        </w:rPr>
        <w:t>4</w:t>
      </w:r>
      <w:r>
        <w:rPr>
          <w:rFonts w:ascii="方正仿宋_GBK" w:cs="方正仿宋_GBK"/>
        </w:rPr>
        <w:t>号</w:t>
      </w:r>
      <w:bookmarkEnd w:id="1"/>
    </w:p>
    <w:p>
      <w:pPr>
        <w:spacing w:line="240" w:lineRule="auto"/>
        <w:jc w:val="center"/>
        <w:rPr>
          <w:bCs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  <w:bookmarkStart w:id="2" w:name="approveUnit"/>
      <w:r>
        <w:rPr>
          <w:rFonts w:eastAsia="方正小标宋_GBK"/>
          <w:kern w:val="2"/>
          <w:sz w:val="44"/>
          <w:szCs w:val="44"/>
        </w:rPr>
        <w:t>重庆市江津区发展和改革委员会</w:t>
      </w:r>
      <w:bookmarkEnd w:id="2"/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</w:rPr>
        <w:t>关于2025年江津区龙华镇高环路加宽改造工程</w:t>
      </w:r>
      <w:r>
        <w:rPr>
          <w:rFonts w:eastAsia="方正小标宋_GBK" w:hint="eastAsia"/>
          <w:kern w:val="2"/>
          <w:sz w:val="44"/>
          <w:szCs w:val="44"/>
        </w:rPr>
        <w:t>可研</w:t>
      </w:r>
      <w:r>
        <w:rPr>
          <w:rFonts w:eastAsia="方正小标宋_GBK"/>
          <w:kern w:val="2"/>
          <w:sz w:val="44"/>
          <w:szCs w:val="44"/>
        </w:rPr>
        <w:t>的批复</w:t>
      </w:r>
    </w:p>
    <w:p>
      <w:pPr>
        <w:overflowPunct w:val="0"/>
        <w:adjustRightInd/>
        <w:spacing w:line="520" w:lineRule="exact"/>
        <w:textAlignment w:val="auto"/>
        <w:rPr>
          <w:kern w:val="2"/>
        </w:rPr>
      </w:pPr>
    </w:p>
    <w:p>
      <w:pPr>
        <w:overflowPunct w:val="0"/>
        <w:adjustRightInd/>
        <w:spacing w:line="520" w:lineRule="exact"/>
        <w:textAlignment w:val="auto"/>
        <w:rPr>
          <w:kern w:val="2"/>
        </w:rPr>
      </w:pPr>
      <w:r>
        <w:rPr>
          <w:rFonts w:hint="eastAsia"/>
          <w:kern w:val="2"/>
        </w:rPr>
        <w:t>重庆市江津区</w:t>
      </w:r>
      <w:r>
        <w:rPr>
          <w:rFonts w:hint="eastAsia"/>
          <w:kern w:val="2"/>
          <w:lang w:eastAsia="zh-CN"/>
        </w:rPr>
        <w:t>龙华镇人民政府</w:t>
      </w:r>
      <w:r>
        <w:rPr>
          <w:rFonts w:hint="eastAsia"/>
          <w:kern w:val="2"/>
        </w:rPr>
        <w:t>：</w:t>
      </w:r>
    </w:p>
    <w:p>
      <w:pPr>
        <w:keepNext w:val="0"/>
        <w:keepLines w:val="0"/>
        <w:widowControl/>
        <w:suppressLineNumbers w:val="0"/>
        <w:overflowPunct w:val="0"/>
        <w:adjustRightInd/>
        <w:spacing w:before="0" w:beforeAutospacing="0" w:after="0" w:afterAutospacing="0" w:line="520" w:lineRule="exact"/>
        <w:ind w:left="0" w:right="0" w:firstLineChars="200" w:firstLine="632"/>
        <w:jc w:val="left"/>
        <w:textAlignment w:val="auto"/>
        <w:rPr>
          <w:kern w:val="2"/>
        </w:rPr>
      </w:pPr>
      <w:r>
        <w:rPr>
          <w:rFonts w:hint="eastAsia"/>
          <w:kern w:val="2"/>
        </w:rPr>
        <w:t>你</w:t>
      </w:r>
      <w:r>
        <w:rPr>
          <w:rFonts w:hint="eastAsia"/>
          <w:kern w:val="2"/>
          <w:lang w:eastAsia="zh-CN"/>
        </w:rPr>
        <w:t>镇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《关于申请审批2025年江津区龙华镇高环路加宽改造工程</w:t>
      </w:r>
      <w:r>
        <w:rPr>
          <w:rFonts w:ascii="方正仿宋_GBK" w:cs="方正仿宋_GBK" w:hint="eastAsia"/>
          <w:kern w:val="2"/>
          <w:sz w:val="32"/>
          <w:szCs w:val="32"/>
          <w:lang w:val="en-US"/>
        </w:rPr>
        <w:t>可研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的函》（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龙华府</w:t>
      </w:r>
      <w:r>
        <w:rPr>
          <w:rFonts w:ascii="方正仿宋_GBK" w:cs="方正仿宋_GBK" w:hint="eastAsia"/>
          <w:kern w:val="2"/>
          <w:sz w:val="32"/>
          <w:szCs w:val="32"/>
          <w:lang w:val="en-US"/>
        </w:rPr>
        <w:t>函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72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号)及相关附件资料</w:t>
      </w:r>
      <w:r>
        <w:rPr>
          <w:kern w:val="2"/>
        </w:rPr>
        <w:t>收悉。</w:t>
      </w:r>
      <w:r>
        <w:rPr>
          <w:rFonts w:hint="eastAsia"/>
          <w:kern w:val="2"/>
        </w:rPr>
        <w:t>根据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政府投资项目管理相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关规定</w:t>
      </w:r>
      <w:r>
        <w:rPr>
          <w:kern w:val="2"/>
        </w:rPr>
        <w:t>，</w:t>
      </w:r>
      <w:r>
        <w:rPr>
          <w:rFonts w:hint="eastAsia"/>
          <w:kern w:val="2"/>
        </w:rPr>
        <w:t>经研究，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现就有关事宜批复如下：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kern w:val="2"/>
        </w:rPr>
      </w:pPr>
      <w:r>
        <w:rPr>
          <w:rFonts w:hint="eastAsia"/>
          <w:kern w:val="2"/>
        </w:rPr>
        <w:t>一、</w:t>
      </w:r>
      <w:r>
        <w:rPr>
          <w:rFonts w:hint="eastAsia"/>
          <w:iCs/>
          <w:kern w:val="2"/>
        </w:rPr>
        <w:t>为</w:t>
      </w:r>
      <w:r>
        <w:rPr>
          <w:rFonts w:hint="eastAsia"/>
          <w:iCs/>
          <w:kern w:val="2"/>
          <w:lang w:eastAsia="zh-CN"/>
        </w:rPr>
        <w:t>助推乡村振兴，切实解决龙华镇群众出行难和致富问题</w:t>
      </w:r>
      <w:r>
        <w:rPr>
          <w:rFonts w:hint="eastAsia"/>
          <w:kern w:val="2"/>
          <w:lang w:eastAsia="zh-CN"/>
        </w:rPr>
        <w:t>。</w:t>
      </w:r>
      <w:r>
        <w:rPr>
          <w:rFonts w:hint="eastAsia"/>
          <w:kern w:val="2"/>
        </w:rPr>
        <w:t>同意实施该项目。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kern w:val="32"/>
        </w:rPr>
      </w:pPr>
      <w:r>
        <w:rPr>
          <w:rFonts w:hint="eastAsia"/>
          <w:kern w:val="32"/>
        </w:rPr>
        <w:t>二、项目代码：2508-500116-04-01-876865。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kern w:val="2"/>
        </w:rPr>
      </w:pPr>
      <w:r>
        <w:rPr>
          <w:rFonts w:hint="eastAsia"/>
          <w:kern w:val="32"/>
        </w:rPr>
        <w:t>三、项目法人：</w:t>
      </w:r>
      <w:bookmarkStart w:id="3" w:name="projectDept1"/>
      <w:r>
        <w:rPr>
          <w:rFonts w:hint="eastAsia"/>
          <w:kern w:val="2"/>
        </w:rPr>
        <w:t>重庆市江津区</w:t>
      </w:r>
      <w:r>
        <w:rPr>
          <w:rFonts w:hint="eastAsia"/>
          <w:kern w:val="2"/>
          <w:lang w:eastAsia="zh-CN"/>
        </w:rPr>
        <w:t>龙华镇人民政府</w:t>
      </w:r>
      <w:bookmarkEnd w:id="3"/>
      <w:r>
        <w:rPr>
          <w:rFonts w:hint="eastAsia"/>
          <w:kern w:val="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kern w:val="32"/>
        </w:rPr>
      </w:pPr>
      <w:r>
        <w:rPr>
          <w:rFonts w:hint="eastAsia"/>
          <w:kern w:val="32"/>
        </w:rPr>
        <w:t>四、项目建设地点：江津区龙华镇龙华寺村。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32"/>
        </w:rPr>
        <w:t>五、</w:t>
      </w:r>
      <w:r>
        <w:t>建设规模、标准及主要建设内容</w:t>
      </w:r>
      <w:r>
        <w:rPr>
          <w:rFonts w:hint="eastAsia"/>
          <w:kern w:val="2"/>
        </w:rPr>
        <w:t>：</w:t>
      </w:r>
      <w:bookmarkStart w:id="4" w:name="scaleContent"/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color w:val="000000"/>
        </w:rPr>
      </w:pPr>
      <w:bookmarkEnd w:id="4"/>
      <w:r>
        <w:rPr>
          <w:rFonts w:hint="eastAsia"/>
          <w:color w:val="000000"/>
          <w:lang w:eastAsia="zh-CN"/>
        </w:rPr>
        <w:t>该</w:t>
      </w:r>
      <w:r>
        <w:rPr>
          <w:color w:val="000000"/>
        </w:rPr>
        <w:t>项目起于龙华寺村高石砍，止于龙华寺村环山寺，全长 3.4 公里；项目主要建设内容是将原 4.5米宽的路基路面拓宽 2 米，加宽后路基路面宽度达到 6.5 米。路面结构采用 20 厘米厚 C15 水泥混凝土基层（填方段）或 5 厘米厚碎石调平层（挖方段）+20 厘米厚C25 水泥混凝土面层，同步完善混凝土边沟、安防设施等。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六、</w:t>
      </w:r>
      <w:r>
        <w:rPr>
          <w:rFonts w:hint="eastAsia"/>
          <w:kern w:val="2"/>
        </w:rPr>
        <w:t>投资估算及资金来源：</w:t>
      </w:r>
      <w:r>
        <w:rPr>
          <w:color w:val="000000"/>
        </w:rPr>
        <w:t>总投资</w:t>
      </w:r>
      <w:r>
        <w:rPr>
          <w:rFonts w:hint="eastAsia"/>
          <w:color w:val="000000"/>
          <w:lang w:val="en-US" w:eastAsia="zh-CN"/>
        </w:rPr>
        <w:t>268</w:t>
      </w:r>
      <w:r>
        <w:rPr>
          <w:color w:val="000000"/>
        </w:rPr>
        <w:t>万元，其中</w:t>
      </w:r>
      <w:r>
        <w:rPr>
          <w:rFonts w:hint="eastAsia"/>
          <w:color w:val="000000"/>
          <w:lang w:eastAsia="zh-CN"/>
        </w:rPr>
        <w:t>工程费用</w:t>
      </w:r>
      <w:r>
        <w:rPr>
          <w:rFonts w:hint="eastAsia"/>
          <w:color w:val="000000"/>
          <w:lang w:val="en-US" w:eastAsia="zh-CN"/>
        </w:rPr>
        <w:t>240.64万元，工程建设其他费14.6万元，基本预备费12.76万元。</w:t>
      </w:r>
      <w:r>
        <w:rPr>
          <w:rFonts w:hint="eastAsia"/>
          <w:kern w:val="2"/>
        </w:rPr>
        <w:t>资金来源为</w:t>
      </w:r>
      <w:r>
        <w:rPr>
          <w:rFonts w:hint="eastAsia"/>
          <w:kern w:val="2"/>
          <w:lang w:val="en-US" w:eastAsia="zh-CN"/>
        </w:rPr>
        <w:t>区级补助资金及业主自筹</w:t>
      </w:r>
      <w:r>
        <w:rPr>
          <w:rFonts w:hint="eastAsia"/>
          <w:kern w:val="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七、建设工期：</w:t>
      </w: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个月</w:t>
      </w:r>
      <w:r>
        <w:rPr>
          <w:color w:val="000000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Chars="200" w:firstLine="632"/>
        <w:jc w:val="left"/>
      </w:pPr>
      <w:r>
        <w:rPr>
          <w:color w:val="000000"/>
        </w:rPr>
        <w:t>八、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请你单位接文后，按照本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次批复的建设内容、建设规模、建设标准和投资等开展后续工作，待项目资金落实后方可开工建设，严禁以任何形式违规举债新增政府隐性债务。建设过程中要实行项目法人责任制、招标投标制、工程监理制和合同管理制，切实加强工程管理，确保工程质量、投资、工期控制到位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overflowPunct w:val="0"/>
        <w:adjustRightInd/>
        <w:spacing w:line="560" w:lineRule="exact"/>
        <w:ind w:firstLineChars="200" w:firstLine="632"/>
        <w:jc w:val="right"/>
        <w:textAlignment w:val="auto"/>
        <w:rPr>
          <w:kern w:val="2"/>
        </w:rPr>
      </w:pPr>
      <w:bookmarkStart w:id="5" w:name="approveUnit1"/>
      <w:r>
        <w:rPr>
          <w:kern w:val="2"/>
        </w:rPr>
        <w:t>重庆市江津区发展和改革委员会</w:t>
      </w:r>
      <w:bookmarkEnd w:id="5"/>
    </w:p>
    <w:p>
      <w:pPr>
        <w:overflowPunct w:val="0"/>
        <w:adjustRightInd/>
        <w:spacing w:line="56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2"/>
        </w:rPr>
        <w:t xml:space="preserve">                      </w:t>
      </w:r>
      <w:r>
        <w:rPr>
          <w:rFonts w:hint="eastAsia"/>
          <w:kern w:val="2"/>
        </w:rPr>
        <w:t xml:space="preserve"> </w:t>
      </w:r>
      <w:r>
        <w:rPr>
          <w:kern w:val="2"/>
        </w:rPr>
        <w:t xml:space="preserve">    </w:t>
      </w:r>
      <w:r>
        <w:rPr>
          <w:rFonts w:hint="eastAsia"/>
          <w:kern w:val="2"/>
        </w:rPr>
        <w:t>2025年8月1</w:t>
      </w:r>
      <w:r>
        <w:rPr>
          <w:rFonts w:hint="eastAsia"/>
          <w:kern w:val="2"/>
          <w:lang w:val="en-US" w:eastAsia="zh-CN"/>
        </w:rPr>
        <w:t>3</w:t>
      </w:r>
      <w:r>
        <w:rPr>
          <w:rFonts w:hint="eastAsia"/>
          <w:kern w:val="2"/>
        </w:rPr>
        <w:t xml:space="preserve">日  </w:t>
      </w:r>
    </w:p>
    <w:p>
      <w:pPr>
        <w:pBdr>
          <w:bottom w:val="single" w:sz="4" w:space="0" w:color="auto"/>
        </w:pBdr>
        <w:spacing w:line="500" w:lineRule="exact"/>
        <w:ind w:firstLine="0"/>
        <w:rPr>
          <w:rFonts w:ascii="方正仿宋_GBK" w:eastAsia="方正仿宋_GBK" w:hint="eastAsia"/>
          <w:sz w:val="32"/>
          <w:szCs w:val="32"/>
        </w:rPr>
      </w:pPr>
    </w:p>
    <w:p>
      <w:pPr>
        <w:pBdr>
          <w:bottom w:val="single" w:sz="4" w:space="0" w:color="auto"/>
        </w:pBdr>
        <w:spacing w:line="500" w:lineRule="exact"/>
        <w:ind w:firstLineChars="1550" w:firstLine="4896"/>
        <w:rPr>
          <w:rFonts w:ascii="方正仿宋_GBK" w:eastAsia="方正仿宋_GBK" w:hint="eastAsia"/>
          <w:sz w:val="32"/>
          <w:szCs w:val="32"/>
        </w:rPr>
      </w:pPr>
    </w:p>
    <w:p>
      <w:pPr>
        <w:tabs>
          <w:tab w:val="left" w:pos="7560"/>
        </w:tabs>
        <w:spacing w:line="500" w:lineRule="exact"/>
        <w:ind w:leftChars="132" w:left="1244" w:hangingChars="300" w:hanging="827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抄送：区财政局、</w:t>
      </w:r>
      <w:r>
        <w:rPr>
          <w:rFonts w:ascii="方正仿宋_GBK" w:eastAsia="方正仿宋_GBK" w:hint="eastAsia"/>
          <w:sz w:val="28"/>
          <w:szCs w:val="28"/>
          <w:lang w:eastAsia="zh-CN"/>
        </w:rPr>
        <w:t>区</w:t>
      </w:r>
      <w:r>
        <w:rPr>
          <w:rFonts w:ascii="方正仿宋_GBK" w:hint="eastAsia"/>
          <w:sz w:val="28"/>
          <w:szCs w:val="28"/>
          <w:lang w:eastAsia="zh-CN"/>
        </w:rPr>
        <w:t>交通运输委</w:t>
      </w:r>
      <w:r>
        <w:rPr>
          <w:rFonts w:ascii="方正仿宋_GBK" w:eastAsia="方正仿宋_GBK" w:hint="eastAsia"/>
          <w:sz w:val="28"/>
          <w:szCs w:val="28"/>
          <w:lang w:eastAsia="zh-CN"/>
        </w:rPr>
        <w:t>、</w:t>
      </w:r>
      <w:r>
        <w:rPr>
          <w:rFonts w:ascii="方正仿宋_GBK" w:eastAsia="方正仿宋_GBK" w:hint="eastAsia"/>
          <w:sz w:val="28"/>
          <w:szCs w:val="28"/>
        </w:rPr>
        <w:t>区审计局、区统计局</w:t>
      </w:r>
      <w:r>
        <w:rPr>
          <w:rFonts w:ascii="方正仿宋_GBK" w:eastAsia="方正仿宋_GBK" w:hint="eastAsia"/>
          <w:spacing w:val="4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76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重庆市江津区发展和改革委员会办公室     202</w:t>
      </w:r>
      <w:r>
        <w:rPr>
          <w:rFonts w:ascii="方正仿宋_GBK" w:eastAsia="方正仿宋_GBK" w:hint="eastAsia"/>
          <w:sz w:val="28"/>
          <w:szCs w:val="28"/>
          <w:lang w:val="en-US" w:eastAsia="zh-CN"/>
        </w:rPr>
        <w:t>5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hint="eastAsia"/>
          <w:sz w:val="28"/>
          <w:szCs w:val="28"/>
          <w:lang w:val="en-US" w:eastAsia="zh-CN"/>
        </w:rPr>
        <w:t>8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hint="eastAsia"/>
          <w:sz w:val="28"/>
          <w:szCs w:val="28"/>
          <w:lang w:val="en-US" w:eastAsia="zh-CN"/>
        </w:rPr>
        <w:t>13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p>
      <w:pPr>
        <w:spacing w:line="240" w:lineRule="auto"/>
        <w:rPr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531" w:bottom="1984" w:left="1531" w:header="851" w:footer="1417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rFonts w:eastAsia="Times New Roman"/>
        <w:sz w:val="18"/>
      </w:rPr>
      <w:fldChar w:fldCharType="begin"/>
    </w:r>
    <w:r>
      <w:rPr>
        <w:rFonts w:eastAsia="Times New Roman"/>
        <w:sz w:val="18"/>
      </w:rPr>
      <w:instrText xml:space="preserve"> PAGE </w:instrText>
    </w:r>
    <w:r>
      <w:rPr>
        <w:rFonts w:eastAsia="Times New Roman"/>
        <w:sz w:val="18"/>
      </w:rPr>
      <w:fldChar w:fldCharType="separate"/>
    </w:r>
    <w:r>
      <w:rPr>
        <w:rFonts w:eastAsia="Times New Roman"/>
        <w:sz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trackRevisions/>
  <w:defaultTabStop w:val="425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doNotBreakWrappedTables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_GBK" w:cs="Times New Roman" w:hAnsi="Times New Roman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900</TotalTime>
  <Application>Yozo_Office</Application>
  <Pages>3</Pages>
  <Words>664</Words>
  <Characters>737</Characters>
  <Lines>47</Lines>
  <Paragraphs>18</Paragraphs>
  <CharactersWithSpaces>787</CharactersWithSpaces>
  <Company>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批复文件</dc:title>
  <dc:creator>jw</dc:creator>
  <cp:lastModifiedBy>Microsoft</cp:lastModifiedBy>
  <cp:revision>0</cp:revision>
  <cp:lastPrinted>2025-08-13T09:53:00Z</cp:lastPrinted>
  <dcterms:created xsi:type="dcterms:W3CDTF">2025-08-06T17:08:00Z</dcterms:created>
  <dcterms:modified xsi:type="dcterms:W3CDTF">2025-08-28T02:12:53Z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F94E67BC60816CE0027399680EE15622_43</vt:lpwstr>
  </property>
  <property fmtid="{D5CDD505-2E9C-101B-9397-08002B2CF9AE}" pid="3" name="KSOProductBuildVer">
    <vt:lpwstr>2052-11.1.0.13703</vt:lpwstr>
  </property>
  <property fmtid="{D5CDD505-2E9C-101B-9397-08002B2CF9AE}" pid="4" name="KSOTemplateDocerSaveRecord">
    <vt:lpwstr>eyJoZGlkIjoiMjViODE3N2ZhNWY1ZjA5YmVmMzViYWZhNjNmNjA4ZTIiLCJ1c2VySWQiOiI1MDcyMjY1NjEifQ==</vt:lpwstr>
  </property>
</Properties>
</file>