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bCs/>
          <w:spacing w:val="51"/>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bCs/>
          <w:spacing w:val="51"/>
          <w:kern w:val="2"/>
          <w:sz w:val="44"/>
          <w:szCs w:val="44"/>
          <w:shd w:val="clear" w:color="auto" w:fill="FFFFFF"/>
          <w:lang w:val="en-US" w:eastAsia="zh-CN" w:bidi="ar-SA"/>
        </w:rPr>
        <w:t>重庆市江津区财政局</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重庆市江津区农业委员会</w:t>
      </w:r>
    </w:p>
    <w:p>
      <w:pPr>
        <w:keepNext w:val="0"/>
        <w:keepLines w:val="0"/>
        <w:pageBreakBefore w:val="0"/>
        <w:widowControl w:val="0"/>
        <w:tabs>
          <w:tab w:val="left" w:pos="7920"/>
        </w:tabs>
        <w:kinsoku/>
        <w:wordWrap/>
        <w:overflowPunct/>
        <w:topLinePunct w:val="0"/>
        <w:autoSpaceDE/>
        <w:autoSpaceDN/>
        <w:bidi w:val="0"/>
        <w:adjustRightInd/>
        <w:snapToGrid/>
        <w:spacing w:line="540" w:lineRule="exact"/>
        <w:jc w:val="center"/>
        <w:textAlignment w:val="auto"/>
        <w:rPr>
          <w:rFonts w:ascii="宋体" w:hAnsi="宋体" w:eastAsia="方正小标宋_GBK"/>
          <w:sz w:val="44"/>
        </w:rPr>
      </w:pPr>
      <w:r>
        <w:rPr>
          <w:rFonts w:ascii="宋体" w:hAnsi="宋体" w:eastAsia="方正小标宋_GBK"/>
          <w:sz w:val="44"/>
        </w:rPr>
        <w:t>关于印发《重庆市江津区涉农项目建设</w:t>
      </w:r>
    </w:p>
    <w:p>
      <w:pPr>
        <w:keepNext w:val="0"/>
        <w:keepLines w:val="0"/>
        <w:pageBreakBefore w:val="0"/>
        <w:widowControl w:val="0"/>
        <w:tabs>
          <w:tab w:val="left" w:pos="7920"/>
        </w:tabs>
        <w:kinsoku/>
        <w:wordWrap/>
        <w:overflowPunct/>
        <w:topLinePunct w:val="0"/>
        <w:autoSpaceDE/>
        <w:autoSpaceDN/>
        <w:bidi w:val="0"/>
        <w:adjustRightInd/>
        <w:snapToGrid/>
        <w:spacing w:line="540" w:lineRule="exact"/>
        <w:jc w:val="center"/>
        <w:textAlignment w:val="auto"/>
        <w:rPr>
          <w:rFonts w:ascii="宋体" w:hAnsi="宋体" w:eastAsia="方正小标宋_GBK"/>
          <w:sz w:val="44"/>
        </w:rPr>
      </w:pPr>
      <w:r>
        <w:rPr>
          <w:rFonts w:ascii="宋体" w:hAnsi="宋体" w:eastAsia="方正小标宋_GBK"/>
          <w:sz w:val="44"/>
        </w:rPr>
        <w:t>财政补助标准》的通知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ascii="宋体" w:hAnsi="宋体" w:eastAsia="方正仿宋_GBK"/>
          <w:sz w:val="32"/>
        </w:rPr>
        <w:t>津财农</w:t>
      </w:r>
      <w:r>
        <w:rPr>
          <w:rFonts w:hint="eastAsia" w:ascii="Times New Roman" w:hAnsi="Times New Roman" w:eastAsia="方正仿宋_GBK" w:cs="Times New Roman"/>
          <w:sz w:val="32"/>
          <w:szCs w:val="32"/>
          <w:lang w:val="en-US" w:eastAsia="zh-CN"/>
        </w:rPr>
        <w:t>〔2016〕29号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val="0"/>
        <w:bidi w:val="0"/>
        <w:adjustRightInd/>
        <w:spacing w:line="600" w:lineRule="exact"/>
        <w:ind w:right="210" w:rightChars="100" w:firstLine="0"/>
        <w:textAlignment w:val="auto"/>
        <w:rPr>
          <w:rFonts w:ascii="宋体" w:hAnsi="宋体" w:eastAsia="方正仿宋_GBK"/>
          <w:sz w:val="32"/>
        </w:rPr>
      </w:pPr>
      <w:r>
        <w:rPr>
          <w:rFonts w:hint="eastAsia" w:ascii="宋体" w:hAnsi="宋体" w:eastAsia="方正仿宋_GBK"/>
          <w:color w:val="auto"/>
          <w:sz w:val="32"/>
          <w:vertAlign w:val="baseline"/>
        </w:rPr>
        <w:t>各镇人民政府、街道办事处</w:t>
      </w:r>
      <w:r>
        <w:rPr>
          <w:rFonts w:ascii="宋体" w:hAnsi="宋体" w:eastAsia="方正仿宋_GBK"/>
          <w:color w:val="auto"/>
          <w:sz w:val="32"/>
          <w:vertAlign w:val="baseline"/>
        </w:rPr>
        <w:t>，区级有关单位</w:t>
      </w:r>
      <w:r>
        <w:rPr>
          <w:rFonts w:hint="eastAsia" w:ascii="宋体" w:hAnsi="宋体" w:eastAsia="方正仿宋_GBK"/>
          <w:sz w:val="32"/>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40" w:firstLineChars="200"/>
        <w:textAlignment w:val="auto"/>
        <w:outlineLvl w:val="9"/>
        <w:rPr>
          <w:rFonts w:hint="eastAsia" w:ascii="宋体" w:hAnsi="宋体" w:eastAsia="方正仿宋_GBK"/>
          <w:color w:val="auto"/>
          <w:sz w:val="32"/>
          <w:vertAlign w:val="baseline"/>
        </w:rPr>
      </w:pPr>
      <w:r>
        <w:rPr>
          <w:rFonts w:hint="eastAsia" w:ascii="宋体" w:hAnsi="宋体" w:eastAsia="方正仿宋_GBK"/>
          <w:sz w:val="32"/>
        </w:rPr>
        <w:t>为了规范</w:t>
      </w:r>
      <w:r>
        <w:rPr>
          <w:rFonts w:ascii="宋体" w:hAnsi="宋体" w:eastAsia="方正仿宋_GBK"/>
          <w:sz w:val="32"/>
        </w:rPr>
        <w:t>涉农</w:t>
      </w:r>
      <w:r>
        <w:rPr>
          <w:rFonts w:hint="eastAsia" w:ascii="宋体" w:hAnsi="宋体" w:eastAsia="方正仿宋_GBK"/>
          <w:sz w:val="32"/>
        </w:rPr>
        <w:t>项目申报和管理，</w:t>
      </w:r>
      <w:r>
        <w:rPr>
          <w:rFonts w:hint="eastAsia" w:ascii="宋体" w:hAnsi="宋体" w:eastAsia="方正仿宋_GBK"/>
          <w:color w:val="auto"/>
          <w:sz w:val="32"/>
          <w:vertAlign w:val="baseline"/>
        </w:rPr>
        <w:t>根据《重庆市农业委员</w:t>
      </w:r>
      <w:r>
        <w:rPr>
          <w:rFonts w:ascii="宋体" w:hAnsi="宋体" w:eastAsia="方正仿宋_GBK"/>
          <w:color w:val="auto"/>
          <w:sz w:val="32"/>
          <w:vertAlign w:val="baseline"/>
        </w:rPr>
        <w:t>会</w:t>
      </w:r>
      <w:r>
        <w:rPr>
          <w:rFonts w:hint="eastAsia" w:ascii="宋体" w:hAnsi="宋体" w:eastAsia="方正仿宋_GBK"/>
          <w:color w:val="auto"/>
          <w:sz w:val="32"/>
          <w:vertAlign w:val="baseline"/>
        </w:rPr>
        <w:t>办公室关于印发重庆市农业委员</w:t>
      </w:r>
      <w:r>
        <w:rPr>
          <w:rFonts w:ascii="宋体" w:hAnsi="宋体" w:eastAsia="方正仿宋_GBK"/>
          <w:color w:val="auto"/>
          <w:sz w:val="32"/>
          <w:vertAlign w:val="baseline"/>
        </w:rPr>
        <w:t>会</w:t>
      </w:r>
      <w:r>
        <w:rPr>
          <w:rFonts w:hint="eastAsia" w:ascii="宋体" w:hAnsi="宋体" w:eastAsia="方正仿宋_GBK"/>
          <w:color w:val="auto"/>
          <w:sz w:val="32"/>
          <w:vertAlign w:val="baseline"/>
        </w:rPr>
        <w:t>农业项目资金监督管理暂行办法 的通知》（渝农办发〔2015〕69号）、《重庆市江津区人民政府办公室关于印发重庆市江津区涉农专项资金管理办法的通知》（江津府办发〔2016〕33号）文件要求，结合当前人工费用上涨，材料价格波动等实际，我们对</w:t>
      </w:r>
      <w:r>
        <w:rPr>
          <w:rFonts w:ascii="宋体" w:hAnsi="宋体" w:eastAsia="方正仿宋_GBK"/>
          <w:color w:val="auto"/>
          <w:sz w:val="32"/>
          <w:vertAlign w:val="baseline"/>
        </w:rPr>
        <w:t>涉农</w:t>
      </w:r>
      <w:r>
        <w:rPr>
          <w:rFonts w:hint="eastAsia" w:ascii="宋体" w:hAnsi="宋体" w:eastAsia="方正仿宋_GBK"/>
          <w:color w:val="auto"/>
          <w:sz w:val="32"/>
          <w:vertAlign w:val="baseline"/>
        </w:rPr>
        <w:t>项目建设财政资金补助标准作了相应调整。</w:t>
      </w:r>
      <w:r>
        <w:rPr>
          <w:rFonts w:ascii="宋体" w:hAnsi="宋体" w:eastAsia="方正仿宋_GBK"/>
          <w:color w:val="auto"/>
          <w:sz w:val="32"/>
          <w:vertAlign w:val="baseline"/>
        </w:rPr>
        <w:t>经研究，</w:t>
      </w:r>
      <w:r>
        <w:rPr>
          <w:rFonts w:hint="eastAsia" w:ascii="宋体" w:hAnsi="宋体" w:eastAsia="方正仿宋_GBK"/>
          <w:color w:val="auto"/>
          <w:sz w:val="32"/>
          <w:vertAlign w:val="baseline"/>
        </w:rPr>
        <w:t>现将调整后《重庆市江津区</w:t>
      </w:r>
      <w:r>
        <w:rPr>
          <w:rFonts w:ascii="宋体" w:hAnsi="宋体" w:eastAsia="方正仿宋_GBK"/>
          <w:color w:val="auto"/>
          <w:sz w:val="32"/>
          <w:vertAlign w:val="baseline"/>
        </w:rPr>
        <w:t>涉农</w:t>
      </w:r>
      <w:r>
        <w:rPr>
          <w:rFonts w:hint="eastAsia" w:ascii="宋体" w:hAnsi="宋体" w:eastAsia="方正仿宋_GBK"/>
          <w:color w:val="auto"/>
          <w:sz w:val="32"/>
          <w:vertAlign w:val="baseline"/>
        </w:rPr>
        <w:t>项目建设财政补助标准》印发给你们，请遵照执行。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40" w:firstLineChars="200"/>
        <w:textAlignment w:val="auto"/>
        <w:outlineLvl w:val="9"/>
        <w:rPr>
          <w:rFonts w:ascii="宋体" w:hAnsi="宋体" w:eastAsia="方正仿宋_GBK"/>
          <w:color w:val="auto"/>
          <w:sz w:val="32"/>
          <w:vertAlign w:val="baseline"/>
        </w:rPr>
      </w:pPr>
      <w:r>
        <w:rPr>
          <w:rFonts w:hint="eastAsia" w:ascii="宋体" w:hAnsi="宋体" w:eastAsia="方正仿宋_GBK"/>
          <w:color w:val="auto"/>
          <w:sz w:val="32"/>
          <w:vertAlign w:val="baseline"/>
        </w:rPr>
        <w:t>我区原</w:t>
      </w:r>
      <w:r>
        <w:rPr>
          <w:rFonts w:ascii="宋体" w:hAnsi="宋体" w:eastAsia="方正仿宋_GBK"/>
          <w:color w:val="auto"/>
          <w:sz w:val="32"/>
          <w:vertAlign w:val="baseline"/>
        </w:rPr>
        <w:t>津财农</w:t>
      </w:r>
      <w:r>
        <w:rPr>
          <w:rFonts w:hint="eastAsia" w:ascii="宋体" w:hAnsi="宋体" w:eastAsia="方正仿宋_GBK"/>
          <w:color w:val="auto"/>
          <w:sz w:val="32"/>
          <w:vertAlign w:val="baseline"/>
        </w:rPr>
        <w:t>〔201</w:t>
      </w:r>
      <w:r>
        <w:rPr>
          <w:rFonts w:ascii="宋体" w:hAnsi="宋体" w:eastAsia="方正仿宋_GBK"/>
          <w:color w:val="auto"/>
          <w:sz w:val="32"/>
          <w:vertAlign w:val="baseline"/>
        </w:rPr>
        <w:t>3</w:t>
      </w:r>
      <w:r>
        <w:rPr>
          <w:rFonts w:hint="eastAsia" w:ascii="宋体" w:hAnsi="宋体" w:eastAsia="方正仿宋_GBK"/>
          <w:color w:val="auto"/>
          <w:sz w:val="32"/>
          <w:vertAlign w:val="baseline"/>
        </w:rPr>
        <w:t>〕</w:t>
      </w:r>
      <w:r>
        <w:rPr>
          <w:rFonts w:ascii="宋体" w:hAnsi="宋体" w:eastAsia="方正仿宋_GBK"/>
          <w:color w:val="auto"/>
          <w:sz w:val="32"/>
          <w:vertAlign w:val="baseline"/>
        </w:rPr>
        <w:t>10</w:t>
      </w:r>
      <w:r>
        <w:rPr>
          <w:rFonts w:hint="eastAsia" w:ascii="宋体" w:hAnsi="宋体" w:eastAsia="方正仿宋_GBK"/>
          <w:color w:val="auto"/>
          <w:sz w:val="32"/>
          <w:vertAlign w:val="baseline"/>
        </w:rPr>
        <w:t>号制定的补助标准同时废止。上级有专门规定的按上级规定执行。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40" w:firstLineChars="200"/>
        <w:textAlignment w:val="auto"/>
        <w:outlineLvl w:val="9"/>
        <w:rPr>
          <w:rFonts w:hint="eastAsia" w:ascii="宋体" w:hAnsi="宋体" w:eastAsia="方正仿宋_GBK"/>
          <w:color w:val="auto"/>
          <w:sz w:val="32"/>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40" w:firstLineChars="200"/>
        <w:textAlignment w:val="auto"/>
        <w:outlineLvl w:val="9"/>
        <w:rPr>
          <w:rFonts w:hint="eastAsia" w:ascii="宋体" w:hAnsi="宋体" w:eastAsia="方正仿宋_GBK"/>
          <w:color w:val="auto"/>
          <w:sz w:val="32"/>
          <w:vertAlign w:val="baseline"/>
        </w:rPr>
      </w:pPr>
      <w:r>
        <w:rPr>
          <w:rFonts w:hint="eastAsia" w:ascii="宋体" w:hAnsi="宋体" w:eastAsia="方正仿宋_GBK"/>
          <w:color w:val="auto"/>
          <w:sz w:val="32"/>
          <w:vertAlign w:val="baseline"/>
        </w:rPr>
        <w:t>附件</w:t>
      </w:r>
      <w:r>
        <w:rPr>
          <w:rFonts w:ascii="宋体" w:hAnsi="宋体" w:eastAsia="方正仿宋_GBK"/>
          <w:color w:val="auto"/>
          <w:sz w:val="32"/>
          <w:vertAlign w:val="baseline"/>
        </w:rPr>
        <w:t>：</w:t>
      </w:r>
      <w:r>
        <w:rPr>
          <w:rFonts w:hint="eastAsia" w:ascii="宋体" w:hAnsi="宋体" w:eastAsia="方正仿宋_GBK"/>
          <w:color w:val="auto"/>
          <w:sz w:val="32"/>
          <w:vertAlign w:val="baseline"/>
        </w:rPr>
        <w:t>1</w:t>
      </w:r>
      <w:r>
        <w:rPr>
          <w:rFonts w:ascii="宋体" w:hAnsi="宋体" w:eastAsia="方正仿宋_GBK"/>
          <w:color w:val="auto"/>
          <w:sz w:val="32"/>
          <w:vertAlign w:val="baseline"/>
        </w:rPr>
        <w:t>．</w:t>
      </w:r>
      <w:r>
        <w:rPr>
          <w:rFonts w:hint="eastAsia" w:ascii="宋体" w:hAnsi="宋体" w:eastAsia="方正仿宋_GBK"/>
          <w:color w:val="auto"/>
          <w:sz w:val="32"/>
          <w:vertAlign w:val="baseline"/>
        </w:rPr>
        <w:t>《重庆市江津区</w:t>
      </w:r>
      <w:r>
        <w:rPr>
          <w:rFonts w:ascii="宋体" w:hAnsi="宋体" w:eastAsia="方正仿宋_GBK"/>
          <w:color w:val="auto"/>
          <w:sz w:val="32"/>
          <w:vertAlign w:val="baseline"/>
        </w:rPr>
        <w:t>涉农</w:t>
      </w:r>
      <w:r>
        <w:rPr>
          <w:rFonts w:hint="eastAsia" w:ascii="宋体" w:hAnsi="宋体" w:eastAsia="方正仿宋_GBK"/>
          <w:color w:val="auto"/>
          <w:sz w:val="32"/>
          <w:vertAlign w:val="baseline"/>
        </w:rPr>
        <w:t>项目建设财政补助标准》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40" w:firstLineChars="200"/>
        <w:textAlignment w:val="auto"/>
        <w:outlineLvl w:val="9"/>
        <w:rPr>
          <w:rFonts w:hint="eastAsia" w:ascii="宋体" w:hAnsi="宋体" w:eastAsia="方正仿宋_GBK"/>
          <w:color w:val="auto"/>
          <w:sz w:val="32"/>
          <w:vertAlign w:val="baseline"/>
        </w:rPr>
      </w:pPr>
      <w:r>
        <w:rPr>
          <w:rFonts w:hint="eastAsia" w:ascii="宋体" w:hAnsi="宋体" w:eastAsia="方正仿宋_GBK"/>
          <w:color w:val="auto"/>
          <w:sz w:val="32"/>
          <w:vertAlign w:val="baseline"/>
        </w:rPr>
        <w:t xml:space="preserve">     </w:t>
      </w:r>
      <w:r>
        <w:rPr>
          <w:rFonts w:ascii="宋体" w:hAnsi="宋体" w:eastAsia="方正仿宋_GBK"/>
          <w:color w:val="auto"/>
          <w:sz w:val="32"/>
          <w:vertAlign w:val="baseline"/>
        </w:rPr>
        <w:t xml:space="preserve"> </w:t>
      </w:r>
      <w:r>
        <w:rPr>
          <w:rFonts w:hint="eastAsia" w:ascii="宋体" w:hAnsi="宋体" w:eastAsia="方正仿宋_GBK"/>
          <w:color w:val="auto"/>
          <w:sz w:val="32"/>
          <w:vertAlign w:val="baseline"/>
        </w:rPr>
        <w:t>2</w:t>
      </w:r>
      <w:r>
        <w:rPr>
          <w:rFonts w:ascii="宋体" w:hAnsi="宋体" w:eastAsia="方正仿宋_GBK"/>
          <w:color w:val="auto"/>
          <w:sz w:val="32"/>
          <w:vertAlign w:val="baseline"/>
        </w:rPr>
        <w:t>．</w:t>
      </w:r>
      <w:r>
        <w:rPr>
          <w:rFonts w:hint="eastAsia" w:ascii="宋体" w:hAnsi="宋体" w:eastAsia="方正仿宋_GBK"/>
          <w:color w:val="auto"/>
          <w:sz w:val="32"/>
          <w:vertAlign w:val="baseline"/>
        </w:rPr>
        <w:t>建设内容指标解释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宋体" w:hAnsi="宋体" w:eastAsia="方正仿宋_GBK"/>
          <w:color w:val="auto"/>
          <w:sz w:val="32"/>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宋体" w:hAnsi="宋体" w:eastAsia="方正仿宋_GBK"/>
          <w:color w:val="auto"/>
          <w:sz w:val="32"/>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7920"/>
        </w:tabs>
        <w:suppressAutoHyphens w:val="0"/>
        <w:kinsoku/>
        <w:wordWrap/>
        <w:overflowPunct/>
        <w:topLinePunct w:val="0"/>
        <w:autoSpaceDE/>
        <w:autoSpaceDN/>
        <w:bidi w:val="0"/>
        <w:adjustRightInd/>
        <w:snapToGrid/>
        <w:spacing w:before="0" w:beforeAutospacing="0" w:after="0" w:afterAutospacing="0" w:line="600" w:lineRule="exact"/>
        <w:ind w:left="0" w:right="420" w:rightChars="200" w:hanging="160" w:hangingChars="50"/>
        <w:jc w:val="center"/>
        <w:textAlignment w:val="auto"/>
        <w:outlineLvl w:val="9"/>
        <w:rPr>
          <w:rFonts w:hint="eastAsia" w:ascii="宋体" w:hAnsi="宋体" w:eastAsia="方正仿宋_GBK"/>
          <w:snapToGrid/>
          <w:color w:val="auto"/>
          <w:sz w:val="32"/>
          <w:vertAlign w:val="baseline"/>
        </w:rPr>
      </w:pPr>
      <w:r>
        <w:rPr>
          <w:rFonts w:hint="eastAsia" w:ascii="宋体" w:hAnsi="宋体" w:eastAsia="方正仿宋_GBK"/>
          <w:snapToGrid/>
          <w:color w:val="auto"/>
          <w:sz w:val="32"/>
          <w:vertAlign w:val="baseline"/>
          <w:lang w:val="en-US" w:eastAsia="zh-CN"/>
        </w:rPr>
        <w:t xml:space="preserve">   </w:t>
      </w:r>
      <w:r>
        <w:rPr>
          <w:rFonts w:hint="eastAsia" w:ascii="宋体" w:hAnsi="宋体" w:eastAsia="方正仿宋_GBK"/>
          <w:snapToGrid/>
          <w:color w:val="auto"/>
          <w:sz w:val="32"/>
          <w:vertAlign w:val="baseline"/>
        </w:rPr>
        <w:t xml:space="preserve">重庆市江津区财政局         重庆市江津区农业委员会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0"/>
        <w:jc w:val="center"/>
        <w:textAlignment w:val="auto"/>
        <w:outlineLvl w:val="9"/>
        <w:rPr>
          <w:rFonts w:hint="eastAsia" w:ascii="宋体" w:hAnsi="宋体" w:eastAsia="方正仿宋_GBK"/>
          <w:color w:val="auto"/>
          <w:sz w:val="32"/>
          <w:vertAlign w:val="baseline"/>
        </w:rPr>
      </w:pPr>
      <w:r>
        <w:rPr>
          <w:rFonts w:hint="eastAsia" w:ascii="宋体" w:hAnsi="宋体" w:eastAsia="方正仿宋_GBK"/>
          <w:color w:val="auto"/>
          <w:sz w:val="32"/>
          <w:vertAlign w:val="baseline"/>
        </w:rPr>
        <w:t xml:space="preserve">                           </w:t>
      </w:r>
      <w:r>
        <w:rPr>
          <w:rFonts w:hint="eastAsia" w:ascii="宋体" w:hAnsi="宋体" w:eastAsia="方正仿宋_GBK"/>
          <w:color w:val="auto"/>
          <w:sz w:val="32"/>
          <w:vertAlign w:val="baseline"/>
          <w:lang w:val="en-US" w:eastAsia="zh-CN"/>
        </w:rPr>
        <w:t xml:space="preserve"> </w:t>
      </w:r>
      <w:r>
        <w:rPr>
          <w:rFonts w:hint="eastAsia" w:ascii="宋体" w:hAnsi="宋体" w:eastAsia="方正仿宋_GBK"/>
          <w:color w:val="auto"/>
          <w:sz w:val="32"/>
          <w:vertAlign w:val="baseline"/>
        </w:rPr>
        <w:t>2016年5月</w:t>
      </w:r>
      <w:r>
        <w:rPr>
          <w:rFonts w:ascii="宋体" w:hAnsi="宋体" w:eastAsia="方正仿宋_GBK"/>
          <w:color w:val="auto"/>
          <w:sz w:val="32"/>
          <w:vertAlign w:val="baseline"/>
        </w:rPr>
        <w:t>9</w:t>
      </w:r>
      <w:r>
        <w:rPr>
          <w:rFonts w:hint="eastAsia" w:ascii="宋体" w:hAnsi="宋体" w:eastAsia="方正仿宋_GBK"/>
          <w:color w:val="auto"/>
          <w:sz w:val="32"/>
          <w:vertAlign w:val="baseline"/>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8"/>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before="0" w:beforeAutospacing="0" w:after="0" w:afterAutospacing="0" w:line="600" w:lineRule="exact"/>
        <w:ind w:left="0" w:right="0" w:firstLine="0"/>
        <w:jc w:val="left"/>
        <w:textAlignment w:val="auto"/>
        <w:outlineLvl w:val="9"/>
        <w:rPr>
          <w:rFonts w:hint="eastAsia" w:ascii="方正仿宋_GBK" w:eastAsia="方正仿宋_GBK"/>
          <w:color w:val="000000"/>
          <w:sz w:val="32"/>
          <w:vertAlign w:val="baseline"/>
        </w:rPr>
      </w:pPr>
      <w:r>
        <w:rPr>
          <w:rFonts w:hint="eastAsia" w:ascii="方正黑体_GBK" w:hAnsi="方正黑体_GBK" w:eastAsia="方正黑体_GBK" w:cs="方正黑体_GBK"/>
          <w:color w:val="000000"/>
          <w:sz w:val="32"/>
          <w:vertAlign w:val="baseline"/>
        </w:rPr>
        <w:t>附件</w:t>
      </w:r>
      <w:r>
        <w:rPr>
          <w:rFonts w:hint="eastAsia" w:ascii="方正仿宋_GBK" w:eastAsia="方正仿宋_GBK"/>
          <w:color w:val="000000"/>
          <w:sz w:val="32"/>
          <w:vertAlign w:val="baseline"/>
        </w:rPr>
        <w:t>1：</w:t>
      </w:r>
    </w:p>
    <w:tbl>
      <w:tblPr>
        <w:tblStyle w:val="9"/>
        <w:tblW w:w="1394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00"/>
        <w:gridCol w:w="3220"/>
        <w:gridCol w:w="6900"/>
        <w:gridCol w:w="580"/>
        <w:gridCol w:w="1571"/>
        <w:gridCol w:w="108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5" w:hRule="atLeast"/>
          <w:tblHeader/>
          <w:jc w:val="center"/>
        </w:trPr>
        <w:tc>
          <w:tcPr>
            <w:tcW w:w="13940" w:type="dxa"/>
            <w:gridSpan w:val="6"/>
            <w:tcBorders>
              <w:bottom w:val="nil"/>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0" w:beforeAutospacing="0" w:after="0" w:afterAutospacing="0" w:line="240" w:lineRule="auto"/>
              <w:ind w:left="0" w:right="0" w:firstLine="0"/>
              <w:jc w:val="center"/>
              <w:textAlignment w:val="auto"/>
              <w:outlineLvl w:val="9"/>
              <w:rPr>
                <w:rFonts w:hint="eastAsia" w:ascii="黑体" w:eastAsia="黑体"/>
                <w:snapToGrid/>
                <w:color w:val="auto"/>
                <w:kern w:val="0"/>
                <w:sz w:val="36"/>
                <w:vertAlign w:val="baseline"/>
              </w:rPr>
            </w:pPr>
            <w:r>
              <w:rPr>
                <w:rFonts w:hint="eastAsia" w:ascii="黑体" w:eastAsia="黑体"/>
                <w:snapToGrid/>
                <w:color w:val="auto"/>
                <w:kern w:val="0"/>
                <w:sz w:val="36"/>
                <w:vertAlign w:val="baseline"/>
              </w:rPr>
              <w:t>重庆市江津区农业建设项目财政补助标准</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tblHeader/>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序号</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建设内容</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建设标准</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单位</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补助标准（元）</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备注</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一</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结石路（机耕道）建设项目</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　</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　</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　</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b/>
                <w:snapToGrid/>
                <w:color w:val="auto"/>
                <w:kern w:val="0"/>
                <w:sz w:val="24"/>
                <w:vertAlign w:val="baseline"/>
              </w:rPr>
            </w:pPr>
            <w:r>
              <w:rPr>
                <w:rFonts w:hint="eastAsia" w:ascii="宋体" w:eastAsia="宋体"/>
                <w:b/>
                <w:snapToGrid/>
                <w:color w:val="auto"/>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1</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新修泥结石路（机耕道）建设项目</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路基宽４.５m、路面宽３.５m以上，两侧路肩宽度0.5 m。路基干砌片石厚23cm、碎石厚7 cm、路面铺粘土压实，设置边沟、涵洞，路面平整。</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km</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150000</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二</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生产（生活）便道硬化建设项目</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　</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　</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　</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b/>
                <w:snapToGrid/>
                <w:color w:val="auto"/>
                <w:kern w:val="0"/>
                <w:sz w:val="24"/>
                <w:vertAlign w:val="baseline"/>
              </w:rPr>
            </w:pPr>
            <w:r>
              <w:rPr>
                <w:rFonts w:hint="eastAsia" w:ascii="宋体" w:eastAsia="宋体"/>
                <w:b/>
                <w:snapToGrid/>
                <w:color w:val="auto"/>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1</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新建宽1m、厚8 cm便道硬化</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用C20混凝土浇筑,每隔5m左右或弯拐处设置一条收缩缝。</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km</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26000</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2</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新建宽1.2 m、厚8 cm便道硬化</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用C20混凝土浇筑,每隔5m左右或弯拐处设置一条收缩缝。</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km</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32000</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3</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新建宽1.5 m、厚10cm便道硬化</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用C20混凝土浇筑、路基碎石垫层厚5cm,每隔5m左右或弯拐处设置一条收缩缝。</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km</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50000</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4</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新建宽1.8 m、厚10cm便道硬化</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用C20混凝土浇筑、路基碎石垫层厚6cm、排水通畅,每隔5m左右或弯拐处设置一条收缩缝。</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km</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70000</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5</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新建宽2 m、厚12cm便道硬化</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用C20混凝土浇筑、路基碎石或块石垫层厚8 cm、排水通畅,每隔5m左右或弯拐处设置一条收缩缝。</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km</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90000</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r>
      <w:tr>
        <w:tblPrEx>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三</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蓄水池</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　</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　</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　</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b/>
                <w:snapToGrid/>
                <w:color w:val="auto"/>
                <w:kern w:val="0"/>
                <w:sz w:val="24"/>
                <w:vertAlign w:val="baseline"/>
              </w:rPr>
            </w:pPr>
            <w:r>
              <w:rPr>
                <w:rFonts w:hint="eastAsia" w:ascii="宋体" w:eastAsia="宋体"/>
                <w:b/>
                <w:snapToGrid/>
                <w:color w:val="auto"/>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1</w:t>
            </w:r>
          </w:p>
        </w:tc>
        <w:tc>
          <w:tcPr>
            <w:tcW w:w="32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蓄水池容积20m³</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蓄水池深为1.5—2m，包括土石方挖运、回填，条石及砖安砌，水泥沙浆勾缝、抹面，安全护栏、池底现浇厚10cm以上的C20钢（网）筋混凝土，安装排水管道闸阀等。</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座</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6000</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发酵池、沼液储存池、沼气池按蓄水池标准补助</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2</w:t>
            </w:r>
          </w:p>
        </w:tc>
        <w:tc>
          <w:tcPr>
            <w:tcW w:w="32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蓄水池容积50m³</w:t>
            </w:r>
          </w:p>
        </w:tc>
        <w:tc>
          <w:tcPr>
            <w:tcW w:w="690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蓄水池深为1.5—2m，包括土石方挖运、回填，条石安砌，水泥沙浆勾缝、抹面，安全护栏、池底现浇厚10cm以上的C20钢（网）筋混凝土，安装排水管道闸阀等。</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座</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16000</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textAlignment w:val="auto"/>
            </w:pPr>
          </w:p>
        </w:tc>
      </w:tr>
      <w:tr>
        <w:tblPrEx>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3</w:t>
            </w:r>
          </w:p>
        </w:tc>
        <w:tc>
          <w:tcPr>
            <w:tcW w:w="32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蓄水池容积100m³</w:t>
            </w:r>
          </w:p>
        </w:tc>
        <w:tc>
          <w:tcPr>
            <w:tcW w:w="69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textAlignment w:val="auto"/>
            </w:pPr>
          </w:p>
        </w:tc>
        <w:tc>
          <w:tcPr>
            <w:tcW w:w="5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座</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22000</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textAlignment w:val="auto"/>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5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4</w:t>
            </w:r>
          </w:p>
        </w:tc>
        <w:tc>
          <w:tcPr>
            <w:tcW w:w="32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蓄水池容积200m³</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采用下埋式，池底采用C20钢（网）筋浇筑，厚度15cm，池壁采用M10水泥砂浆浆砌条石，池顶往下1米高为双轮条石0.25米宽，池底宽度0.5米，池壁开槽勾缝或抹面处理。蓄水池口到池底设置下池阶梯，蓄水池底安装PE110mm管道与外界连通，并安置1个闸阀，蓄水池四周安全护栏并设有安全标识。</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座</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32000</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textAlignment w:val="auto"/>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四</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排灌沟渠建设项目</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　</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　</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　</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b/>
                <w:snapToGrid/>
                <w:color w:val="auto"/>
                <w:kern w:val="0"/>
                <w:sz w:val="24"/>
                <w:vertAlign w:val="baseline"/>
              </w:rPr>
            </w:pPr>
            <w:r>
              <w:rPr>
                <w:rFonts w:hint="eastAsia" w:ascii="宋体" w:eastAsia="宋体"/>
                <w:b/>
                <w:snapToGrid/>
                <w:color w:val="auto"/>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1</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沟渠净宽0.5m、深0.6 m</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排灌沟渠边墙顶宽为两侧墙为浆砌条石，沟底现浇厚6cm的C20混凝土，侧墙顶部采用C20钢筋混凝土找平。</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m</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120</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2</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沟渠净宽0.8m、深1.0 m</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排灌沟渠边墙顶宽为两侧墙为浆砌条石，沟底现浇厚6cm的C20混凝土，侧墙顶部采用C21钢筋混凝土找平。</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m</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190</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3</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沟渠净宽1m、深1.0 m</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排灌沟渠边墙为双轮条石浆砌，顶宽大于0.5米，旱地沟底现浇厚6cm的C20混凝土，水田沟底浆砌条石底板，侧墙顶部采用C20钢筋混凝土找平。</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m</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210</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000000"/>
                <w:kern w:val="0"/>
                <w:sz w:val="24"/>
                <w:vertAlign w:val="baseline"/>
              </w:rPr>
            </w:pPr>
            <w:r>
              <w:rPr>
                <w:rFonts w:hint="eastAsia" w:ascii="宋体" w:eastAsia="宋体"/>
                <w:snapToGrid/>
                <w:color w:val="000000"/>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4</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沟渠净宽1.2 m、深1.0 m</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排灌沟渠边墙为双轮条石浆砌，顶宽大于0.5米，旱地沟底现浇厚6cm的C20混凝土，水田沟底浆砌条石底板，侧墙顶部采用C20钢筋混凝土找平。</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m</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220</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000000"/>
                <w:kern w:val="0"/>
                <w:sz w:val="24"/>
                <w:vertAlign w:val="baseline"/>
              </w:rPr>
            </w:pPr>
            <w:r>
              <w:rPr>
                <w:rFonts w:hint="eastAsia" w:ascii="宋体" w:eastAsia="宋体"/>
                <w:snapToGrid/>
                <w:color w:val="000000"/>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5</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沟渠净宽1.5 m、深1.0 m</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排灌沟渠边墙为双轮条石浆砌，顶宽大于0.5米，旱地沟底现浇厚6cm的C20混凝土，水田沟底浆砌条石底板，侧墙顶部采用C20钢筋混凝土找平。</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m</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250</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000000"/>
                <w:kern w:val="0"/>
                <w:sz w:val="24"/>
                <w:vertAlign w:val="baseline"/>
              </w:rPr>
            </w:pPr>
            <w:r>
              <w:rPr>
                <w:rFonts w:hint="eastAsia" w:ascii="宋体" w:eastAsia="宋体"/>
                <w:snapToGrid/>
                <w:color w:val="000000"/>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五</w:t>
            </w:r>
          </w:p>
        </w:tc>
        <w:tc>
          <w:tcPr>
            <w:tcW w:w="32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标准化渔场</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养殖面积10亩以上</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b/>
                <w:snapToGrid/>
                <w:color w:val="auto"/>
                <w:kern w:val="0"/>
                <w:sz w:val="24"/>
                <w:vertAlign w:val="baseline"/>
              </w:rPr>
            </w:pPr>
            <w:r>
              <w:rPr>
                <w:rFonts w:hint="eastAsia" w:ascii="宋体" w:eastAsia="宋体"/>
                <w:b/>
                <w:snapToGrid/>
                <w:color w:val="auto"/>
                <w:kern w:val="0"/>
                <w:sz w:val="24"/>
                <w:vertAlign w:val="baseline"/>
              </w:rPr>
              <w:t>　</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b/>
                <w:snapToGrid/>
                <w:color w:val="auto"/>
                <w:kern w:val="0"/>
                <w:sz w:val="24"/>
                <w:vertAlign w:val="baseline"/>
              </w:rPr>
            </w:pPr>
            <w:r>
              <w:rPr>
                <w:rFonts w:hint="eastAsia" w:ascii="宋体" w:eastAsia="宋体"/>
                <w:b/>
                <w:snapToGrid/>
                <w:color w:val="auto"/>
                <w:kern w:val="0"/>
                <w:sz w:val="24"/>
                <w:vertAlign w:val="baseline"/>
              </w:rPr>
              <w:t>　</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b/>
                <w:snapToGrid/>
                <w:color w:val="auto"/>
                <w:kern w:val="0"/>
                <w:sz w:val="24"/>
                <w:vertAlign w:val="baseline"/>
              </w:rPr>
            </w:pPr>
            <w:r>
              <w:rPr>
                <w:rFonts w:hint="eastAsia" w:ascii="宋体" w:eastAsia="宋体"/>
                <w:b/>
                <w:snapToGrid/>
                <w:color w:val="auto"/>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60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1</w:t>
            </w:r>
          </w:p>
        </w:tc>
        <w:tc>
          <w:tcPr>
            <w:tcW w:w="322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outlineLvl w:val="9"/>
              <w:rPr>
                <w:rFonts w:hint="eastAsia" w:ascii="宋体" w:eastAsia="宋体"/>
                <w:snapToGrid/>
                <w:color w:val="000000"/>
                <w:kern w:val="0"/>
                <w:sz w:val="20"/>
                <w:vertAlign w:val="baseline"/>
              </w:rPr>
            </w:pPr>
            <w:r>
              <w:rPr>
                <w:rFonts w:hint="eastAsia" w:ascii="宋体" w:eastAsia="宋体"/>
                <w:snapToGrid/>
                <w:color w:val="000000"/>
                <w:sz w:val="20"/>
                <w:vertAlign w:val="baseline"/>
              </w:rPr>
              <w:t>均质土堤</w:t>
            </w:r>
          </w:p>
        </w:tc>
        <w:tc>
          <w:tcPr>
            <w:tcW w:w="690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outlineLvl w:val="9"/>
              <w:rPr>
                <w:rFonts w:hint="eastAsia" w:ascii="宋体" w:eastAsia="宋体"/>
                <w:snapToGrid/>
                <w:color w:val="000000"/>
                <w:kern w:val="0"/>
                <w:sz w:val="20"/>
                <w:vertAlign w:val="baseline"/>
              </w:rPr>
            </w:pPr>
            <w:r>
              <w:rPr>
                <w:rFonts w:hint="eastAsia" w:ascii="宋体" w:eastAsia="宋体"/>
                <w:snapToGrid/>
                <w:color w:val="000000"/>
                <w:sz w:val="20"/>
                <w:vertAlign w:val="baseline"/>
              </w:rPr>
              <w:t>按土坝构筑土方量计算并验收补助。清除场地草皮、挖土、铺料、碾压、修坡、养护等。要求坝体均质密实，结构稳定，坝体平直，安全稳定，边坡修整后达到1﹕1以上，不垮不漏。机械施工时逐层碾压紧实，每层铺料厚度20-30cm，土块限制直径≤10cm。坝体内外坡严禁</w:t>
            </w:r>
            <w:r>
              <w:rPr>
                <w:rFonts w:hint="eastAsia" w:ascii="宋体" w:eastAsia="宋体"/>
                <w:snapToGrid/>
                <w:color w:val="000000"/>
                <w:sz w:val="20"/>
                <w:vertAlign w:val="baseline"/>
                <w:lang w:val="en-US" w:eastAsia="zh-CN"/>
              </w:rPr>
              <w:t>种</w:t>
            </w:r>
            <w:r>
              <w:rPr>
                <w:rFonts w:hint="eastAsia" w:ascii="宋体" w:eastAsia="宋体"/>
                <w:snapToGrid/>
                <w:color w:val="000000"/>
                <w:sz w:val="20"/>
                <w:vertAlign w:val="baseline"/>
              </w:rPr>
              <w:t>植树木。</w:t>
            </w:r>
          </w:p>
        </w:tc>
        <w:tc>
          <w:tcPr>
            <w:tcW w:w="58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100" w:firstLineChars="50"/>
              <w:jc w:val="both"/>
              <w:textAlignment w:val="auto"/>
              <w:outlineLvl w:val="9"/>
              <w:rPr>
                <w:rFonts w:hint="eastAsia" w:ascii="宋体" w:eastAsia="宋体"/>
                <w:snapToGrid/>
                <w:color w:val="000000"/>
                <w:kern w:val="0"/>
                <w:sz w:val="20"/>
                <w:vertAlign w:val="baseline"/>
              </w:rPr>
            </w:pPr>
            <w:r>
              <w:rPr>
                <w:rFonts w:hint="default" w:ascii="Times New Roman" w:hAnsi="Times New Roman" w:eastAsia="宋体"/>
                <w:snapToGrid/>
                <w:color w:val="000000"/>
                <w:sz w:val="20"/>
                <w:vertAlign w:val="baseline"/>
              </w:rPr>
              <w:t>m³</w:t>
            </w:r>
          </w:p>
        </w:tc>
        <w:tc>
          <w:tcPr>
            <w:tcW w:w="156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1100" w:firstLineChars="550"/>
              <w:jc w:val="both"/>
              <w:textAlignment w:val="auto"/>
              <w:outlineLvl w:val="9"/>
              <w:rPr>
                <w:rFonts w:hint="eastAsia" w:ascii="宋体" w:eastAsia="宋体"/>
                <w:snapToGrid/>
                <w:color w:val="000000"/>
                <w:sz w:val="20"/>
                <w:vertAlign w:val="baseline"/>
              </w:rPr>
            </w:pPr>
            <w:r>
              <w:rPr>
                <w:rFonts w:hint="eastAsia" w:ascii="宋体" w:eastAsia="宋体"/>
                <w:snapToGrid/>
                <w:color w:val="000000"/>
                <w:sz w:val="20"/>
                <w:vertAlign w:val="baseline"/>
              </w:rPr>
              <w:t>30</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000000"/>
                <w:kern w:val="0"/>
                <w:sz w:val="24"/>
                <w:vertAlign w:val="baseline"/>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2</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现浇混凝土护坡</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修整坡面、铺设钢丝网、支模、C20混凝土浇筑、表面抹平、养护等内容，要求混凝土厚度10cm。且坡面平直、无裂缝。土坝平面临水岸设置安全措施。</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m2</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50</w:t>
            </w:r>
          </w:p>
        </w:tc>
        <w:tc>
          <w:tcPr>
            <w:tcW w:w="1080" w:type="dxa"/>
            <w:vMerge w:val="restar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r>
              <w:rPr>
                <w:rFonts w:hint="eastAsia" w:ascii="宋体" w:eastAsia="宋体"/>
                <w:snapToGrid/>
                <w:color w:val="000000"/>
                <w:kern w:val="0"/>
                <w:sz w:val="20"/>
                <w:vertAlign w:val="baseline"/>
              </w:rPr>
              <w:t>灌溉池参照此标准执行</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3</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砼预制块护坡</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修整坡面、铺复合土工膜和砂、铺砼预制块、勾缝，要求预制块厚度8-10cm，砌体间咬扣紧密，错缝无通缝，表面平整。</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m2</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150</w:t>
            </w:r>
          </w:p>
        </w:tc>
        <w:tc>
          <w:tcPr>
            <w:tcW w:w="1080" w:type="dxa"/>
            <w:vMerge w:val="continue"/>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textAlignment w:val="auto"/>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4</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防渗土工膜护坡</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按成品方补助，厚度为130-300克/ m2,要求坡面平整，现场热合不漏水，下口埋入池底30厘米以上。</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m2</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6</w:t>
            </w:r>
          </w:p>
        </w:tc>
        <w:tc>
          <w:tcPr>
            <w:tcW w:w="1080" w:type="dxa"/>
            <w:vMerge w:val="continue"/>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textAlignment w:val="auto"/>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75"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b/>
                <w:snapToGrid/>
                <w:color w:val="000000"/>
                <w:kern w:val="0"/>
                <w:sz w:val="20"/>
                <w:vertAlign w:val="baseline"/>
              </w:rPr>
            </w:pPr>
            <w:r>
              <w:rPr>
                <w:rFonts w:hint="eastAsia" w:ascii="宋体" w:eastAsia="宋体"/>
                <w:b/>
                <w:snapToGrid/>
                <w:color w:val="000000"/>
                <w:kern w:val="0"/>
                <w:sz w:val="20"/>
                <w:vertAlign w:val="baseline"/>
              </w:rPr>
              <w:t>六</w:t>
            </w:r>
          </w:p>
        </w:tc>
        <w:tc>
          <w:tcPr>
            <w:tcW w:w="32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b/>
                <w:snapToGrid/>
                <w:color w:val="000000"/>
                <w:kern w:val="0"/>
                <w:sz w:val="20"/>
                <w:vertAlign w:val="baseline"/>
              </w:rPr>
            </w:pPr>
            <w:r>
              <w:rPr>
                <w:rFonts w:hint="eastAsia" w:ascii="宋体" w:eastAsia="宋体"/>
                <w:b/>
                <w:snapToGrid/>
                <w:color w:val="000000"/>
                <w:kern w:val="0"/>
                <w:sz w:val="20"/>
                <w:vertAlign w:val="baseline"/>
              </w:rPr>
              <w:t>农产品生产加工用房</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墙体厚为24厘米，地面平场后将泥土夯实碾压，再用C30混凝土硬化，混凝土厚度为20cm。基础、地坪、内外墙、门窗、屋面、脚手架及室内照明工程。构造为砖混、预制（现浇）钢筋混凝土楼板、内外砖墙、木门窗、三合土地面、外墙为清水墙、内墙为石灰沙浆抹面。</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m2</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240</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七</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彩钢棚（包含钢管柱、屋架、彩钢瓦的制作、安装）</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立柱材质厚度不低于2mm，直径不低于70mm，棚柱间距不大于4m，棚高不低于4.5m，顶棚厚度为70丝，地面硬化。</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60</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r>
      <w:tr>
        <w:tblPrEx>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八</w:t>
            </w:r>
          </w:p>
        </w:tc>
        <w:tc>
          <w:tcPr>
            <w:tcW w:w="32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农产品转运场</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地面平场后用泥土夯实碾压；再加片石或碎石嵌底，厚度为25cm；再用C30混凝土硬化，厚度为20cm。</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50</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九</w:t>
            </w:r>
          </w:p>
        </w:tc>
        <w:tc>
          <w:tcPr>
            <w:tcW w:w="32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冻库</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　</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　</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　</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1</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000000"/>
                <w:kern w:val="0"/>
                <w:sz w:val="18"/>
                <w:vertAlign w:val="baseline"/>
              </w:rPr>
            </w:pPr>
            <w:r>
              <w:rPr>
                <w:rFonts w:hint="eastAsia" w:ascii="宋体" w:eastAsia="宋体"/>
                <w:snapToGrid/>
                <w:color w:val="000000"/>
                <w:kern w:val="0"/>
                <w:sz w:val="18"/>
                <w:vertAlign w:val="baseline"/>
              </w:rPr>
              <w:t>新建保鲜冷藏室（250m³以下）</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用聚氨酯双面彩钢活动板材、冷藏室配有制冷设备及动力用电制动系统、室内外硬化、室内隔热保温层、屋顶隔热降温处理等。</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宋体"/>
                <w:snapToGrid/>
                <w:color w:val="000000"/>
                <w:kern w:val="0"/>
                <w:sz w:val="20"/>
                <w:vertAlign w:val="baseline"/>
              </w:rPr>
            </w:pPr>
            <w:r>
              <w:rPr>
                <w:rFonts w:hint="default" w:ascii="Times New Roman" w:hAnsi="Times New Roman" w:eastAsia="宋体"/>
                <w:snapToGrid/>
                <w:color w:val="000000"/>
                <w:kern w:val="0"/>
                <w:sz w:val="20"/>
                <w:vertAlign w:val="baseline"/>
              </w:rPr>
              <w:t>m³</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400</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2</w:t>
            </w:r>
          </w:p>
        </w:tc>
        <w:tc>
          <w:tcPr>
            <w:tcW w:w="322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000000"/>
                <w:kern w:val="0"/>
                <w:sz w:val="18"/>
                <w:vertAlign w:val="baseline"/>
              </w:rPr>
            </w:pPr>
            <w:r>
              <w:rPr>
                <w:rFonts w:hint="eastAsia" w:ascii="宋体" w:eastAsia="宋体"/>
                <w:snapToGrid/>
                <w:color w:val="000000"/>
                <w:kern w:val="0"/>
                <w:sz w:val="18"/>
                <w:vertAlign w:val="baseline"/>
              </w:rPr>
              <w:t>新建保鲜冷藏室（250-500m³）</w:t>
            </w:r>
          </w:p>
        </w:tc>
        <w:tc>
          <w:tcPr>
            <w:tcW w:w="690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　</w:t>
            </w:r>
          </w:p>
        </w:tc>
        <w:tc>
          <w:tcPr>
            <w:tcW w:w="58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宋体"/>
                <w:snapToGrid/>
                <w:color w:val="000000"/>
                <w:kern w:val="0"/>
                <w:sz w:val="20"/>
                <w:vertAlign w:val="baseline"/>
              </w:rPr>
            </w:pPr>
            <w:r>
              <w:rPr>
                <w:rFonts w:hint="default" w:ascii="Times New Roman" w:hAnsi="Times New Roman" w:eastAsia="宋体"/>
                <w:snapToGrid/>
                <w:color w:val="000000"/>
                <w:kern w:val="0"/>
                <w:sz w:val="20"/>
                <w:vertAlign w:val="baseline"/>
              </w:rPr>
              <w:t>m³</w:t>
            </w:r>
          </w:p>
        </w:tc>
        <w:tc>
          <w:tcPr>
            <w:tcW w:w="15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380</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3</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000000"/>
                <w:kern w:val="0"/>
                <w:sz w:val="18"/>
                <w:vertAlign w:val="baseline"/>
              </w:rPr>
            </w:pPr>
            <w:r>
              <w:rPr>
                <w:rFonts w:hint="eastAsia" w:ascii="宋体" w:eastAsia="宋体"/>
                <w:snapToGrid/>
                <w:color w:val="000000"/>
                <w:kern w:val="0"/>
                <w:sz w:val="18"/>
                <w:vertAlign w:val="baseline"/>
              </w:rPr>
              <w:t>新建保鲜冷藏室（500-1000m³）</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用聚氨酯双面彩钢活动板材、冷藏室配有制冷设备及动力用电制动系统、室内外硬化、室内隔热保温层、屋顶隔热降温处理等。</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宋体"/>
                <w:snapToGrid/>
                <w:color w:val="000000"/>
                <w:kern w:val="0"/>
                <w:sz w:val="20"/>
                <w:vertAlign w:val="baseline"/>
              </w:rPr>
            </w:pPr>
            <w:r>
              <w:rPr>
                <w:rFonts w:hint="default" w:ascii="Times New Roman" w:hAnsi="Times New Roman" w:eastAsia="宋体"/>
                <w:snapToGrid/>
                <w:color w:val="000000"/>
                <w:kern w:val="0"/>
                <w:sz w:val="20"/>
                <w:vertAlign w:val="baseline"/>
              </w:rPr>
              <w:t>m³</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360</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十</w:t>
            </w:r>
          </w:p>
        </w:tc>
        <w:tc>
          <w:tcPr>
            <w:tcW w:w="32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大棚</w:t>
            </w:r>
          </w:p>
        </w:tc>
        <w:tc>
          <w:tcPr>
            <w:tcW w:w="69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1</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000000"/>
                <w:kern w:val="0"/>
                <w:sz w:val="18"/>
                <w:vertAlign w:val="baseline"/>
              </w:rPr>
            </w:pPr>
            <w:r>
              <w:rPr>
                <w:rFonts w:hint="eastAsia" w:ascii="宋体" w:eastAsia="宋体"/>
                <w:snapToGrid/>
                <w:color w:val="000000"/>
                <w:kern w:val="0"/>
                <w:sz w:val="18"/>
                <w:vertAlign w:val="baseline"/>
              </w:rPr>
              <w:t>GRC水泥骨架大棚</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每片骨架承受压力≥50公斤，抗风7－8级，耐热≤80℃，抗冻≤－40℃，使用寿命15－20年。</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亩</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8000</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05"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2</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000000"/>
                <w:kern w:val="0"/>
                <w:sz w:val="18"/>
                <w:vertAlign w:val="baseline"/>
              </w:rPr>
            </w:pPr>
            <w:r>
              <w:rPr>
                <w:rFonts w:hint="eastAsia" w:ascii="宋体" w:eastAsia="宋体"/>
                <w:snapToGrid/>
                <w:color w:val="000000"/>
                <w:kern w:val="0"/>
                <w:sz w:val="18"/>
                <w:vertAlign w:val="baseline"/>
              </w:rPr>
              <w:t>单栋钢管大棚</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热浸镀锌管材，8 m大棚外径在26mm以上，管壁厚在1.8mm以上；6 m棚外径在22mm以上，管壁厚在1.2mm以上。8 m大棚钢管拱间距在0.65-1m之间，在1.3m处时要配置撑柱，顶高在3.3m以上。6 m钢管大棚为单栋结构，拱间距为0.65m，宽度为6m，顶高为2.5m，标准长30 m。采用液压或葫芦卷膜器，薄膜用蔬菜专用无滴膜、厚度≥8个丝。每个棚两端（4个角）用斜拉杆、每隔6—7根棚杆底座用C20混凝土浇</w:t>
            </w:r>
            <w:r>
              <w:rPr>
                <w:rFonts w:hint="eastAsia" w:ascii="宋体" w:eastAsia="宋体"/>
                <w:snapToGrid/>
                <w:color w:val="auto"/>
                <w:kern w:val="0"/>
                <w:sz w:val="20"/>
                <w:vertAlign w:val="baseline"/>
                <w:lang w:val="en-US" w:eastAsia="zh-CN"/>
              </w:rPr>
              <w:t>筑</w:t>
            </w:r>
            <w:r>
              <w:rPr>
                <w:rFonts w:hint="eastAsia" w:ascii="宋体" w:eastAsia="宋体"/>
                <w:snapToGrid/>
                <w:color w:val="auto"/>
                <w:kern w:val="0"/>
                <w:sz w:val="20"/>
                <w:vertAlign w:val="baseline"/>
              </w:rPr>
              <w:t>（25×30×50cm规格）墩加固，棚间挖制50×50cm的排水沟，</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亩</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13000</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55"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3</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000000"/>
                <w:kern w:val="0"/>
                <w:sz w:val="18"/>
                <w:vertAlign w:val="baseline"/>
              </w:rPr>
            </w:pPr>
            <w:r>
              <w:rPr>
                <w:rFonts w:hint="eastAsia" w:ascii="宋体" w:eastAsia="宋体"/>
                <w:snapToGrid/>
                <w:color w:val="000000"/>
                <w:kern w:val="0"/>
                <w:sz w:val="18"/>
                <w:vertAlign w:val="baseline"/>
              </w:rPr>
              <w:t>连栋膜温室大棚</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棚杆（含卷膜杆、吊环门、支撑架、棚柱、排水槽等热浸镀锌管材，单个棚顶角≤120。，采用液压（或葫芦）卷膜器并上位安装，棚杆及支撑架材质厚度≥1.8mm、直径≥2cm；棚柱材质厚度≥2mm、直径≥5cm，排水槽两端安排水接地管，直径≥10cm，薄膜厚度≥12个丝。建设单位需提交建设施工设计图。</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亩</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150000</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7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4</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000000"/>
                <w:kern w:val="0"/>
                <w:sz w:val="18"/>
                <w:vertAlign w:val="baseline"/>
              </w:rPr>
            </w:pPr>
            <w:r>
              <w:rPr>
                <w:rFonts w:hint="eastAsia" w:ascii="宋体" w:eastAsia="宋体"/>
                <w:snapToGrid/>
                <w:color w:val="000000"/>
                <w:kern w:val="0"/>
                <w:sz w:val="18"/>
                <w:vertAlign w:val="baseline"/>
              </w:rPr>
              <w:t>生产性玻璃温室大棚</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包括主体骨架、温室门、外遮阳系统、内遮阳系统、天窗侧翻系统、湿帘风机强制降温系统、照明系统、电动控制、配电系统等。建设单位需提交建设施工设计图。</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000000"/>
                <w:kern w:val="0"/>
                <w:sz w:val="20"/>
                <w:vertAlign w:val="baseline"/>
              </w:rPr>
            </w:pPr>
            <w:r>
              <w:rPr>
                <w:rFonts w:hint="eastAsia" w:ascii="宋体" w:eastAsia="宋体"/>
                <w:snapToGrid/>
                <w:color w:val="000000"/>
                <w:kern w:val="0"/>
                <w:sz w:val="20"/>
                <w:vertAlign w:val="baseline"/>
              </w:rPr>
              <w:t>亩</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200000</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十一</w:t>
            </w:r>
          </w:p>
        </w:tc>
        <w:tc>
          <w:tcPr>
            <w:tcW w:w="32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b/>
                <w:snapToGrid/>
                <w:color w:val="auto"/>
                <w:kern w:val="0"/>
                <w:sz w:val="20"/>
                <w:vertAlign w:val="baseline"/>
              </w:rPr>
            </w:pPr>
            <w:r>
              <w:rPr>
                <w:rFonts w:hint="eastAsia" w:ascii="宋体" w:eastAsia="宋体"/>
                <w:b/>
                <w:snapToGrid/>
                <w:color w:val="auto"/>
                <w:kern w:val="0"/>
                <w:sz w:val="20"/>
                <w:vertAlign w:val="baseline"/>
              </w:rPr>
              <w:t>设施设备</w:t>
            </w:r>
          </w:p>
        </w:tc>
        <w:tc>
          <w:tcPr>
            <w:tcW w:w="69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c>
          <w:tcPr>
            <w:tcW w:w="5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c>
          <w:tcPr>
            <w:tcW w:w="15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righ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1</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农机设备</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大、中、小型农用机械等。有厂家规格型号</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国家购置补贴加补贴占整机购置的50%</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2</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农产品加工设备</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农产品加工设备：包括烘干机、压榨机、筛选机、剥壳机等</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企业按市场价格的50%补贴，种养殖大户、家庭农场、合作社等按市场价格的70%补贴</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设施设备必须标有厂家规格型号，产品合格证。发票必须开具同类产品市场价格购置的全额发票。</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3</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渔业设施设备</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包括增氧机、投饵机、发电机和起重机、围栏栏杆、防鸟天网和视频监控系统、增氧自动控制、水质在线监测、停电报警等物联网应用系统等。</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textAlignment w:val="auto"/>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textAlignment w:val="auto"/>
            </w:pPr>
          </w:p>
        </w:tc>
      </w:tr>
      <w:tr>
        <w:tblPrEx>
          <w:tblCellMar>
            <w:top w:w="0" w:type="dxa"/>
            <w:left w:w="108" w:type="dxa"/>
            <w:bottom w:w="0" w:type="dxa"/>
            <w:right w:w="108" w:type="dxa"/>
          </w:tblCellMar>
        </w:tblPrEx>
        <w:trPr>
          <w:trHeight w:val="69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4</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畜牧设施设备</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种母猪限喂栏、种公猪栏、母猪产床、仔猪保育栏、商品肥猪育肥栏、水帘或湿帘降温系统、监控系统等</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textAlignment w:val="auto"/>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textAlignment w:val="auto"/>
            </w:pPr>
          </w:p>
        </w:tc>
      </w:tr>
      <w:tr>
        <w:tblPrEx>
          <w:tblCellMar>
            <w:top w:w="0" w:type="dxa"/>
            <w:left w:w="108" w:type="dxa"/>
            <w:bottom w:w="0" w:type="dxa"/>
            <w:right w:w="108" w:type="dxa"/>
          </w:tblCellMar>
        </w:tblPrEx>
        <w:trPr>
          <w:trHeight w:val="69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5</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电子商务设施设备</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农产品市场营销，建设完善营销网络，互联网、物联网等设施设备</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textAlignment w:val="auto"/>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textAlignment w:val="auto"/>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6</w:t>
            </w:r>
          </w:p>
        </w:tc>
        <w:tc>
          <w:tcPr>
            <w:tcW w:w="32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其</w:t>
            </w:r>
            <w:r>
              <w:rPr>
                <w:rFonts w:hint="eastAsia" w:ascii="宋体" w:eastAsia="宋体"/>
                <w:snapToGrid/>
                <w:color w:val="auto"/>
                <w:kern w:val="0"/>
                <w:sz w:val="20"/>
                <w:vertAlign w:val="baseline"/>
                <w:lang w:val="en-US" w:eastAsia="zh-CN"/>
              </w:rPr>
              <w:t>他</w:t>
            </w:r>
            <w:bookmarkStart w:id="0" w:name="_GoBack"/>
            <w:bookmarkEnd w:id="0"/>
            <w:r>
              <w:rPr>
                <w:rFonts w:hint="eastAsia" w:ascii="宋体" w:eastAsia="宋体"/>
                <w:snapToGrid/>
                <w:color w:val="auto"/>
                <w:kern w:val="0"/>
                <w:sz w:val="20"/>
                <w:vertAlign w:val="baseline"/>
              </w:rPr>
              <w:t>设施设备</w:t>
            </w:r>
          </w:p>
        </w:tc>
        <w:tc>
          <w:tcPr>
            <w:tcW w:w="69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0"/>
                <w:vertAlign w:val="baseline"/>
              </w:rPr>
            </w:pPr>
            <w:r>
              <w:rPr>
                <w:rFonts w:hint="eastAsia" w:ascii="宋体" w:eastAsia="宋体"/>
                <w:snapToGrid/>
                <w:color w:val="auto"/>
                <w:kern w:val="0"/>
                <w:sz w:val="20"/>
                <w:vertAlign w:val="baseline"/>
              </w:rPr>
              <w:t>管网、杀虫灯、黄板等</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outlineLvl w:val="9"/>
              <w:rPr>
                <w:rFonts w:hint="eastAsia" w:ascii="宋体" w:eastAsia="宋体"/>
                <w:snapToGrid/>
                <w:color w:val="auto"/>
                <w:kern w:val="0"/>
                <w:sz w:val="24"/>
                <w:vertAlign w:val="baseline"/>
              </w:rPr>
            </w:pPr>
            <w:r>
              <w:rPr>
                <w:rFonts w:hint="eastAsia" w:ascii="宋体" w:eastAsia="宋体"/>
                <w:snapToGrid/>
                <w:color w:val="auto"/>
                <w:kern w:val="0"/>
                <w:sz w:val="24"/>
                <w:vertAlign w:val="baseline"/>
              </w:rPr>
              <w:t>　</w:t>
            </w: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textAlignment w:val="auto"/>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textAlignment w:val="auto"/>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5" w:type="default"/>
          <w:footerReference r:id="rId6" w:type="default"/>
          <w:pgSz w:w="16838" w:h="11906" w:orient="landscape"/>
          <w:pgMar w:top="1587" w:right="1962" w:bottom="1474" w:left="1848" w:header="851" w:footer="992" w:gutter="0"/>
          <w:pgNumType w:fmt="numberInDash"/>
          <w:cols w:space="0" w:num="1"/>
          <w:rtlGutter w:val="0"/>
          <w:docGrid w:type="lines" w:linePitch="316" w:charSpace="0"/>
        </w:sect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before="0" w:beforeAutospacing="0" w:after="0" w:afterAutospacing="0" w:line="600" w:lineRule="exact"/>
        <w:ind w:right="0"/>
        <w:jc w:val="left"/>
        <w:textAlignment w:val="auto"/>
        <w:outlineLvl w:val="9"/>
        <w:rPr>
          <w:rFonts w:hint="eastAsia" w:ascii="方正黑体_GBK" w:eastAsia="方正黑体_GBK"/>
          <w:color w:val="auto"/>
          <w:sz w:val="32"/>
          <w:vertAlign w:val="baseline"/>
        </w:rPr>
      </w:pPr>
      <w:r>
        <w:rPr>
          <w:rFonts w:hint="eastAsia" w:ascii="方正黑体_GBK" w:hAnsi="方正黑体_GBK" w:eastAsia="方正黑体_GBK" w:cs="方正黑体_GBK"/>
          <w:color w:val="000000"/>
          <w:sz w:val="32"/>
          <w:vertAlign w:val="baseline"/>
        </w:rPr>
        <w:t>附件</w:t>
      </w:r>
      <w:r>
        <w:rPr>
          <w:rFonts w:hint="eastAsia" w:ascii="方正仿宋_GBK" w:eastAsia="方正仿宋_GBK"/>
          <w:color w:val="000000"/>
          <w:sz w:val="32"/>
          <w:vertAlign w:val="baseline"/>
        </w:rPr>
        <w:t>2：</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540" w:lineRule="exact"/>
        <w:ind w:left="0" w:right="0" w:firstLine="880" w:firstLineChars="200"/>
        <w:jc w:val="center"/>
        <w:textAlignment w:val="auto"/>
        <w:outlineLvl w:val="9"/>
        <w:rPr>
          <w:rFonts w:hint="eastAsia" w:ascii="方正小标宋_GBK" w:eastAsia="方正小标宋_GBK"/>
          <w:color w:val="auto"/>
          <w:sz w:val="44"/>
          <w:vertAlign w:val="baseline"/>
        </w:rPr>
      </w:pPr>
      <w:r>
        <w:rPr>
          <w:rFonts w:hint="eastAsia" w:ascii="方正小标宋_GBK" w:eastAsia="方正小标宋_GBK"/>
          <w:color w:val="auto"/>
          <w:sz w:val="44"/>
          <w:vertAlign w:val="baseline"/>
        </w:rPr>
        <w:t>建设内容及指标解释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before="0" w:beforeAutospacing="0" w:after="0" w:afterAutospacing="0" w:line="560" w:lineRule="exact"/>
        <w:ind w:left="0" w:right="0" w:firstLine="640" w:firstLineChars="200"/>
        <w:jc w:val="both"/>
        <w:textAlignment w:val="auto"/>
        <w:outlineLvl w:val="9"/>
        <w:rPr>
          <w:rFonts w:hint="eastAsia" w:ascii="方正黑体_GBK" w:eastAsia="方正黑体_GBK"/>
          <w:color w:val="auto"/>
          <w:sz w:val="32"/>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eastAsia" w:ascii="方正黑体_GBK" w:eastAsia="方正黑体_GBK"/>
          <w:color w:val="auto"/>
          <w:sz w:val="32"/>
          <w:vertAlign w:val="baseline"/>
        </w:rPr>
      </w:pPr>
      <w:r>
        <w:rPr>
          <w:rFonts w:hint="eastAsia" w:ascii="方正黑体_GBK" w:eastAsia="方正黑体_GBK"/>
          <w:color w:val="auto"/>
          <w:sz w:val="32"/>
          <w:vertAlign w:val="baseline"/>
        </w:rPr>
        <w:t>一、农村道路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楷体_GBK" w:eastAsia="方正楷体_GBK"/>
          <w:snapToGrid/>
          <w:color w:val="auto"/>
          <w:sz w:val="32"/>
          <w:vertAlign w:val="baseline"/>
        </w:rPr>
      </w:pPr>
      <w:r>
        <w:rPr>
          <w:rFonts w:hint="eastAsia" w:ascii="方正楷体_GBK" w:eastAsia="方正楷体_GBK"/>
          <w:snapToGrid/>
          <w:color w:val="auto"/>
          <w:sz w:val="32"/>
          <w:vertAlign w:val="baseline"/>
        </w:rPr>
        <w:t>（一）新修泥结石路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snapToGrid/>
          <w:color w:val="auto"/>
          <w:sz w:val="32"/>
          <w:vertAlign w:val="baseline"/>
        </w:rPr>
      </w:pPr>
      <w:r>
        <w:rPr>
          <w:rFonts w:hint="eastAsia" w:ascii="方正仿宋_GBK" w:eastAsia="方正仿宋_GBK"/>
          <w:snapToGrid/>
          <w:color w:val="auto"/>
          <w:sz w:val="32"/>
          <w:vertAlign w:val="baseline"/>
        </w:rPr>
        <w:t>路基宽４.５m、路面宽３.５m以上，两侧路肩宽度0.5 m。路基砌片石厚23cm、碎石厚7 cm、路面铺粘土压实，设置边沟、涵洞。要求排水通畅，路面平整。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楷体_GBK" w:eastAsia="方正楷体_GBK"/>
          <w:snapToGrid/>
          <w:color w:val="auto"/>
          <w:sz w:val="32"/>
          <w:vertAlign w:val="baseline"/>
        </w:rPr>
      </w:pPr>
      <w:r>
        <w:rPr>
          <w:rFonts w:hint="eastAsia" w:ascii="方正楷体_GBK" w:eastAsia="方正楷体_GBK"/>
          <w:snapToGrid/>
          <w:color w:val="auto"/>
          <w:sz w:val="32"/>
          <w:vertAlign w:val="baseline"/>
        </w:rPr>
        <w:t>（二）生产（生活）便道硬化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color w:val="auto"/>
          <w:sz w:val="32"/>
          <w:vertAlign w:val="baseline"/>
        </w:rPr>
      </w:pPr>
      <w:r>
        <w:rPr>
          <w:rFonts w:hint="eastAsia" w:ascii="方正仿宋_GBK" w:eastAsia="方正仿宋_GBK"/>
          <w:color w:val="auto"/>
          <w:sz w:val="32"/>
          <w:vertAlign w:val="baseline"/>
        </w:rPr>
        <w:t>1.新建宽1m、1.2 m、厚8 cm便道，用C20混凝土浇筑，</w:t>
      </w:r>
      <w:r>
        <w:rPr>
          <w:rFonts w:hint="eastAsia" w:ascii="方正仿宋_GBK" w:eastAsia="方正仿宋_GBK"/>
          <w:color w:val="auto"/>
          <w:sz w:val="32"/>
          <w:vertAlign w:val="baseline"/>
          <w:lang w:val="zh-CN" w:eastAsia="zh-CN"/>
        </w:rPr>
        <w:t>浇筑时每隔5m左右或弯拐处设置一道伸缩缝</w:t>
      </w:r>
      <w:r>
        <w:rPr>
          <w:rFonts w:hint="eastAsia" w:ascii="方正仿宋_GBK" w:eastAsia="方正仿宋_GBK"/>
          <w:color w:val="auto"/>
          <w:sz w:val="32"/>
          <w:vertAlign w:val="baselin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b/>
          <w:color w:val="auto"/>
          <w:sz w:val="32"/>
          <w:vertAlign w:val="baseline"/>
        </w:rPr>
      </w:pPr>
      <w:r>
        <w:rPr>
          <w:rFonts w:hint="eastAsia" w:ascii="方正仿宋_GBK" w:eastAsia="方正仿宋_GBK"/>
          <w:color w:val="auto"/>
          <w:sz w:val="32"/>
          <w:vertAlign w:val="baseline"/>
        </w:rPr>
        <w:t>2.新建宽1.5 m、厚10cm便道，用C20混凝土浇筑、路基碎石垫层厚5cm，</w:t>
      </w:r>
      <w:r>
        <w:rPr>
          <w:rFonts w:hint="eastAsia" w:ascii="方正仿宋_GBK" w:eastAsia="方正仿宋_GBK"/>
          <w:color w:val="auto"/>
          <w:sz w:val="32"/>
          <w:vertAlign w:val="baseline"/>
          <w:lang w:val="zh-CN" w:eastAsia="zh-CN"/>
        </w:rPr>
        <w:t>浇筑时每隔5m左右或弯拐处设置一道伸缩缝</w:t>
      </w:r>
      <w:r>
        <w:rPr>
          <w:rFonts w:hint="eastAsia" w:ascii="方正仿宋_GBK" w:eastAsia="方正仿宋_GBK"/>
          <w:b/>
          <w:color w:val="auto"/>
          <w:sz w:val="32"/>
          <w:vertAlign w:val="baselin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b/>
          <w:color w:val="auto"/>
          <w:sz w:val="32"/>
          <w:vertAlign w:val="baseline"/>
        </w:rPr>
      </w:pPr>
      <w:r>
        <w:rPr>
          <w:rFonts w:hint="eastAsia" w:ascii="方正仿宋_GBK" w:eastAsia="方正仿宋_GBK"/>
          <w:color w:val="000000"/>
          <w:sz w:val="32"/>
          <w:vertAlign w:val="baseline"/>
        </w:rPr>
        <w:t>3.新建宽1.8 m、厚10cm</w:t>
      </w:r>
      <w:r>
        <w:rPr>
          <w:rFonts w:hint="eastAsia" w:ascii="方正仿宋_GBK" w:eastAsia="方正仿宋_GBK"/>
          <w:color w:val="auto"/>
          <w:sz w:val="32"/>
          <w:vertAlign w:val="baseline"/>
        </w:rPr>
        <w:t>便道</w:t>
      </w:r>
      <w:r>
        <w:rPr>
          <w:rFonts w:hint="eastAsia" w:ascii="方正仿宋_GBK" w:eastAsia="方正仿宋_GBK"/>
          <w:color w:val="000000"/>
          <w:sz w:val="32"/>
          <w:vertAlign w:val="baseline"/>
        </w:rPr>
        <w:t>，用C20混凝土浇筑、路基碎石垫层厚6cm，</w:t>
      </w:r>
      <w:r>
        <w:rPr>
          <w:rFonts w:hint="eastAsia" w:ascii="方正仿宋_GBK" w:eastAsia="方正仿宋_GBK"/>
          <w:color w:val="auto"/>
          <w:sz w:val="32"/>
          <w:vertAlign w:val="baseline"/>
          <w:lang w:val="zh-CN" w:eastAsia="zh-CN"/>
        </w:rPr>
        <w:t>浇筑时每隔5m左右或弯拐处设置一道伸缩缝</w:t>
      </w:r>
      <w:r>
        <w:rPr>
          <w:rFonts w:hint="eastAsia" w:ascii="方正仿宋_GBK" w:eastAsia="方正仿宋_GBK"/>
          <w:b/>
          <w:color w:val="auto"/>
          <w:sz w:val="32"/>
          <w:vertAlign w:val="baselin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color w:val="auto"/>
          <w:sz w:val="32"/>
          <w:vertAlign w:val="baseline"/>
        </w:rPr>
      </w:pPr>
      <w:r>
        <w:rPr>
          <w:rFonts w:hint="eastAsia" w:ascii="方正仿宋_GBK" w:eastAsia="方正仿宋_GBK"/>
          <w:color w:val="auto"/>
          <w:sz w:val="32"/>
          <w:vertAlign w:val="baseline"/>
        </w:rPr>
        <w:t>4.新建宽2 m、厚12cm便道，用C20混凝土浇筑、路基碎石或块石垫层厚8 cm，</w:t>
      </w:r>
      <w:r>
        <w:rPr>
          <w:rFonts w:hint="eastAsia" w:ascii="方正仿宋_GBK" w:eastAsia="方正仿宋_GBK"/>
          <w:color w:val="auto"/>
          <w:sz w:val="32"/>
          <w:vertAlign w:val="baseline"/>
          <w:lang w:val="zh-CN" w:eastAsia="zh-CN"/>
        </w:rPr>
        <w:t>浇筑时每隔5m左右或弯拐处设置一道伸缩缝</w:t>
      </w:r>
      <w:r>
        <w:rPr>
          <w:rFonts w:hint="eastAsia" w:ascii="方正仿宋_GBK" w:eastAsia="方正仿宋_GBK"/>
          <w:color w:val="auto"/>
          <w:sz w:val="32"/>
          <w:vertAlign w:val="baseline"/>
        </w:rPr>
        <w:t>，道路两侧排水通畅。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eastAsia" w:ascii="方正楷体_GBK" w:eastAsia="方正楷体_GBK"/>
          <w:b/>
          <w:color w:val="auto"/>
          <w:sz w:val="32"/>
          <w:vertAlign w:val="baseline"/>
        </w:rPr>
      </w:pPr>
      <w:r>
        <w:rPr>
          <w:rFonts w:hint="eastAsia" w:ascii="方正黑体_GBK" w:eastAsia="方正黑体_GBK"/>
          <w:color w:val="auto"/>
          <w:sz w:val="32"/>
          <w:vertAlign w:val="baseline"/>
        </w:rPr>
        <w:t>二、水利设施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楷体_GBK" w:eastAsia="方正楷体_GBK"/>
          <w:snapToGrid/>
          <w:color w:val="auto"/>
          <w:sz w:val="32"/>
          <w:vertAlign w:val="baseline"/>
        </w:rPr>
      </w:pPr>
      <w:r>
        <w:rPr>
          <w:rFonts w:hint="eastAsia" w:ascii="方正楷体_GBK" w:eastAsia="方正楷体_GBK"/>
          <w:snapToGrid/>
          <w:color w:val="auto"/>
          <w:sz w:val="32"/>
          <w:vertAlign w:val="baseline"/>
        </w:rPr>
        <w:t>（一）蓄水池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color w:val="auto"/>
          <w:sz w:val="32"/>
          <w:vertAlign w:val="baseline"/>
        </w:rPr>
      </w:pPr>
      <w:r>
        <w:rPr>
          <w:rFonts w:hint="eastAsia" w:ascii="方正仿宋_GBK" w:eastAsia="方正仿宋_GBK"/>
          <w:snapToGrid/>
          <w:color w:val="auto"/>
          <w:sz w:val="32"/>
          <w:vertAlign w:val="baseline"/>
        </w:rPr>
        <w:t>蓄水池容积分20m</w:t>
      </w:r>
      <w:r>
        <w:rPr>
          <w:rFonts w:hint="eastAsia" w:ascii="方正仿宋_GBK" w:eastAsia="方正仿宋_GBK"/>
          <w:snapToGrid/>
          <w:color w:val="auto"/>
          <w:sz w:val="32"/>
          <w:vertAlign w:val="superscript"/>
        </w:rPr>
        <w:t>3</w:t>
      </w:r>
      <w:r>
        <w:rPr>
          <w:rFonts w:hint="eastAsia" w:ascii="方正楷体_GBK" w:eastAsia="方正楷体_GBK"/>
          <w:b/>
          <w:snapToGrid/>
          <w:color w:val="auto"/>
          <w:sz w:val="32"/>
          <w:vertAlign w:val="baseline"/>
        </w:rPr>
        <w:t>、</w:t>
      </w:r>
      <w:r>
        <w:rPr>
          <w:rFonts w:hint="eastAsia" w:ascii="方正仿宋_GBK" w:eastAsia="方正仿宋_GBK"/>
          <w:snapToGrid/>
          <w:color w:val="auto"/>
          <w:sz w:val="32"/>
          <w:vertAlign w:val="baseline"/>
        </w:rPr>
        <w:t>50m</w:t>
      </w:r>
      <w:r>
        <w:rPr>
          <w:rFonts w:hint="eastAsia" w:ascii="方正仿宋_GBK" w:eastAsia="方正仿宋_GBK"/>
          <w:snapToGrid/>
          <w:color w:val="auto"/>
          <w:sz w:val="32"/>
          <w:vertAlign w:val="superscript"/>
        </w:rPr>
        <w:t>3</w:t>
      </w:r>
      <w:r>
        <w:rPr>
          <w:rFonts w:hint="eastAsia" w:ascii="方正仿宋_GBK" w:eastAsia="方正仿宋_GBK"/>
          <w:snapToGrid/>
          <w:color w:val="auto"/>
          <w:sz w:val="32"/>
          <w:vertAlign w:val="baseline"/>
        </w:rPr>
        <w:t>、100m</w:t>
      </w:r>
      <w:r>
        <w:rPr>
          <w:rFonts w:hint="eastAsia" w:ascii="方正仿宋_GBK" w:eastAsia="方正仿宋_GBK"/>
          <w:snapToGrid/>
          <w:color w:val="auto"/>
          <w:sz w:val="32"/>
          <w:vertAlign w:val="superscript"/>
        </w:rPr>
        <w:t>3</w:t>
      </w:r>
      <w:r>
        <w:rPr>
          <w:rFonts w:hint="eastAsia" w:ascii="方正仿宋_GBK" w:eastAsia="方正仿宋_GBK"/>
          <w:snapToGrid/>
          <w:color w:val="auto"/>
          <w:sz w:val="32"/>
          <w:vertAlign w:val="baseline"/>
        </w:rPr>
        <w:t>、200m</w:t>
      </w:r>
      <w:r>
        <w:rPr>
          <w:rFonts w:hint="eastAsia" w:ascii="方正仿宋_GBK" w:eastAsia="方正仿宋_GBK"/>
          <w:snapToGrid/>
          <w:color w:val="auto"/>
          <w:sz w:val="32"/>
          <w:vertAlign w:val="superscript"/>
        </w:rPr>
        <w:t>3</w:t>
      </w:r>
      <w:r>
        <w:rPr>
          <w:rFonts w:hint="eastAsia" w:ascii="方正仿宋_GBK" w:eastAsia="方正仿宋_GBK"/>
          <w:snapToGrid/>
          <w:color w:val="auto"/>
          <w:sz w:val="32"/>
          <w:vertAlign w:val="baseline"/>
        </w:rPr>
        <w:t>；100m</w:t>
      </w:r>
      <w:r>
        <w:rPr>
          <w:rFonts w:hint="eastAsia" w:ascii="方正仿宋_GBK" w:eastAsia="方正仿宋_GBK"/>
          <w:snapToGrid/>
          <w:color w:val="auto"/>
          <w:sz w:val="32"/>
          <w:vertAlign w:val="superscript"/>
        </w:rPr>
        <w:t>3</w:t>
      </w:r>
      <w:r>
        <w:rPr>
          <w:rFonts w:hint="eastAsia" w:ascii="方正仿宋_GBK" w:eastAsia="方正仿宋_GBK"/>
          <w:snapToGrid/>
          <w:color w:val="auto"/>
          <w:sz w:val="32"/>
          <w:vertAlign w:val="baseline"/>
        </w:rPr>
        <w:t>以下设计池深为1.5—2m，包括基础土石方挖运、回填，条石及砖安砌，水泥沙浆勾缝、抹面、蓄水池四周建安全护栏并设有安全标识，池底现浇厚10 cm以上的C20钢（网）筋混凝土，安装排水管道,闸阀等；容积20m³的蓄水池可采用条石或砖浆砌；容积50m-100m</w:t>
      </w:r>
      <w:r>
        <w:rPr>
          <w:rFonts w:hint="eastAsia" w:ascii="方正仿宋_GBK" w:eastAsia="方正仿宋_GBK"/>
          <w:snapToGrid/>
          <w:color w:val="auto"/>
          <w:sz w:val="32"/>
          <w:vertAlign w:val="superscript"/>
        </w:rPr>
        <w:t>3</w:t>
      </w:r>
      <w:r>
        <w:rPr>
          <w:rFonts w:hint="eastAsia" w:ascii="方正仿宋_GBK" w:eastAsia="方正仿宋_GBK"/>
          <w:snapToGrid/>
          <w:color w:val="auto"/>
          <w:sz w:val="32"/>
          <w:vertAlign w:val="baseline"/>
        </w:rPr>
        <w:t>的蓄水池采用条石浆砌；容积200m</w:t>
      </w:r>
      <w:r>
        <w:rPr>
          <w:rFonts w:hint="eastAsia" w:ascii="方正仿宋_GBK" w:eastAsia="方正仿宋_GBK"/>
          <w:snapToGrid/>
          <w:color w:val="auto"/>
          <w:sz w:val="32"/>
          <w:vertAlign w:val="superscript"/>
        </w:rPr>
        <w:t>3</w:t>
      </w:r>
      <w:r>
        <w:rPr>
          <w:rFonts w:hint="eastAsia" w:ascii="方正仿宋_GBK" w:eastAsia="方正仿宋_GBK"/>
          <w:snapToGrid/>
          <w:color w:val="auto"/>
          <w:sz w:val="32"/>
          <w:vertAlign w:val="baseline"/>
        </w:rPr>
        <w:t>全部采用下埋式，池底采用C20砼浇筑，厚度15cm，池壁采用M10水泥砂浆浆砌条石，池顶往下1米高为单轮条石0.25米宽，其余以下为0.5米宽，池壁开槽勾缝，池底水泥防水砂浆刷1-2次以防渗漏。蓄水池口到池底设置梯步，蓄水池底安装PE110mm管道与外界连通，并安置1个闸阀，蓄水池四周建安全护栏并设有安全标识。</w:t>
      </w:r>
      <w:r>
        <w:rPr>
          <w:rFonts w:hint="eastAsia" w:ascii="方正仿宋_GBK" w:eastAsia="方正仿宋_GBK"/>
          <w:color w:val="auto"/>
          <w:sz w:val="32"/>
          <w:vertAlign w:val="baseline"/>
        </w:rPr>
        <w:t>（发酵池、沼液储存池、沼气池按蓄水池标准补助）。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楷体_GBK" w:eastAsia="方正楷体_GBK"/>
          <w:snapToGrid/>
          <w:color w:val="auto"/>
          <w:sz w:val="32"/>
          <w:vertAlign w:val="baseline"/>
        </w:rPr>
      </w:pPr>
      <w:r>
        <w:rPr>
          <w:rFonts w:hint="eastAsia" w:ascii="方正楷体_GBK" w:eastAsia="方正楷体_GBK"/>
          <w:snapToGrid/>
          <w:color w:val="auto"/>
          <w:sz w:val="32"/>
          <w:vertAlign w:val="baseline"/>
        </w:rPr>
        <w:t>（二）排灌沟渠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outlineLvl w:val="9"/>
        <w:rPr>
          <w:rFonts w:hint="eastAsia" w:ascii="方正仿宋_GBK" w:eastAsia="方正仿宋_GBK"/>
          <w:color w:val="auto"/>
          <w:sz w:val="32"/>
          <w:vertAlign w:val="baseline"/>
        </w:rPr>
      </w:pPr>
      <w:r>
        <w:rPr>
          <w:rFonts w:hint="eastAsia" w:ascii="方正仿宋_GBK" w:eastAsia="方正仿宋_GBK"/>
          <w:color w:val="auto"/>
          <w:sz w:val="32"/>
          <w:vertAlign w:val="baseline"/>
        </w:rPr>
        <w:t>排灌沟渠宽×深规格为0.5m*0.6 m、0.8m*1.0 m、1m*1.0 m、1.2m*1.0 m、1.5 m*1.0 m。</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方正仿宋_GBK" w:eastAsia="方正仿宋_GBK"/>
          <w:snapToGrid/>
          <w:color w:val="auto"/>
          <w:sz w:val="32"/>
          <w:vertAlign w:val="baseline"/>
          <w:lang w:val="zh-CN" w:eastAsia="zh-CN"/>
        </w:rPr>
      </w:pPr>
      <w:r>
        <w:rPr>
          <w:rFonts w:hint="eastAsia" w:ascii="方正仿宋_GBK" w:eastAsia="方正仿宋_GBK"/>
          <w:snapToGrid/>
          <w:color w:val="auto"/>
          <w:sz w:val="32"/>
          <w:vertAlign w:val="baseline"/>
        </w:rPr>
        <w:t>排灌沟渠</w:t>
      </w:r>
      <w:r>
        <w:rPr>
          <w:rFonts w:hint="eastAsia" w:ascii="方正仿宋_GBK" w:eastAsia="方正仿宋_GBK"/>
          <w:snapToGrid/>
          <w:color w:val="auto"/>
          <w:sz w:val="32"/>
          <w:vertAlign w:val="baseline"/>
          <w:lang w:val="zh-CN" w:eastAsia="zh-CN"/>
        </w:rPr>
        <w:t>开挖时为方便施工，两边加宽工作面10cm，开挖边坡比取1:0.5。对沟底进行凿平夯实，采用人工打压夯实，其含水量不得大于20%，沟底放坡坡比为1.8%。</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方正仿宋_GBK" w:eastAsia="方正仿宋_GBK"/>
          <w:snapToGrid/>
          <w:color w:val="auto"/>
          <w:sz w:val="32"/>
          <w:vertAlign w:val="baseline"/>
        </w:rPr>
      </w:pPr>
      <w:r>
        <w:rPr>
          <w:rFonts w:hint="eastAsia" w:ascii="方正仿宋_GBK" w:eastAsia="方正仿宋_GBK"/>
          <w:snapToGrid/>
          <w:color w:val="auto"/>
          <w:sz w:val="32"/>
          <w:vertAlign w:val="baseline"/>
          <w:lang w:val="zh-CN" w:eastAsia="zh-CN"/>
        </w:rPr>
        <w:t>排</w:t>
      </w:r>
      <w:r>
        <w:rPr>
          <w:rFonts w:hint="eastAsia" w:ascii="方正仿宋_GBK" w:eastAsia="方正仿宋_GBK"/>
          <w:snapToGrid/>
          <w:color w:val="auto"/>
          <w:sz w:val="32"/>
          <w:vertAlign w:val="baseline"/>
        </w:rPr>
        <w:t>灌沟渠</w:t>
      </w:r>
      <w:r>
        <w:rPr>
          <w:rFonts w:hint="eastAsia" w:ascii="方正仿宋_GBK" w:eastAsia="方正仿宋_GBK"/>
          <w:snapToGrid/>
          <w:color w:val="auto"/>
          <w:sz w:val="32"/>
          <w:vertAlign w:val="baseline"/>
          <w:lang w:val="zh-CN" w:eastAsia="zh-CN"/>
        </w:rPr>
        <w:t>基础必须为密实的粘土层，深</w:t>
      </w:r>
      <w:r>
        <w:rPr>
          <w:rFonts w:hint="eastAsia" w:ascii="方正仿宋_GBK" w:eastAsia="方正仿宋_GBK"/>
          <w:snapToGrid/>
          <w:color w:val="auto"/>
          <w:sz w:val="32"/>
          <w:vertAlign w:val="baseline"/>
        </w:rPr>
        <w:t>1米以上（含1米）类型沟渠，其</w:t>
      </w:r>
      <w:r>
        <w:rPr>
          <w:rFonts w:hint="eastAsia" w:ascii="方正仿宋_GBK" w:eastAsia="方正仿宋_GBK"/>
          <w:snapToGrid/>
          <w:color w:val="auto"/>
          <w:sz w:val="32"/>
          <w:vertAlign w:val="baseline"/>
          <w:lang w:val="zh-CN" w:eastAsia="zh-CN"/>
        </w:rPr>
        <w:t>沟底采用</w:t>
      </w:r>
      <w:r>
        <w:rPr>
          <w:rFonts w:hint="eastAsia" w:ascii="方正仿宋_GBK" w:eastAsia="方正仿宋_GBK"/>
          <w:snapToGrid/>
          <w:color w:val="auto"/>
          <w:sz w:val="32"/>
          <w:vertAlign w:val="baseline"/>
        </w:rPr>
        <w:t>0</w:t>
      </w:r>
      <w:r>
        <w:rPr>
          <w:rFonts w:hint="eastAsia" w:ascii="方正仿宋_GBK" w:eastAsia="方正仿宋_GBK"/>
          <w:snapToGrid/>
          <w:color w:val="auto"/>
          <w:sz w:val="32"/>
          <w:vertAlign w:val="baseline"/>
          <w:lang w:val="zh-CN" w:eastAsia="zh-CN"/>
        </w:rPr>
        <w:t>.8m宽、 0.25厚条石横踩，</w:t>
      </w:r>
      <w:r>
        <w:rPr>
          <w:rFonts w:hint="eastAsia" w:ascii="方正仿宋_GBK" w:eastAsia="方正仿宋_GBK"/>
          <w:snapToGrid/>
          <w:color w:val="auto"/>
          <w:sz w:val="32"/>
          <w:vertAlign w:val="baseline"/>
        </w:rPr>
        <w:t>M10沙浆砌筑，中空部分回填</w:t>
      </w:r>
      <w:r>
        <w:rPr>
          <w:rFonts w:hint="eastAsia" w:ascii="方正仿宋_GBK" w:eastAsia="方正仿宋_GBK"/>
          <w:snapToGrid/>
          <w:color w:val="auto"/>
          <w:sz w:val="32"/>
          <w:vertAlign w:val="baseline"/>
          <w:lang w:val="zh-CN" w:eastAsia="zh-CN"/>
        </w:rPr>
        <w:t>夯实凿平，再铺设8cm厚C20砼基础；沟壁采用</w:t>
      </w:r>
      <w:r>
        <w:rPr>
          <w:rFonts w:hint="eastAsia" w:ascii="方正仿宋_GBK" w:eastAsia="方正仿宋_GBK"/>
          <w:snapToGrid/>
          <w:color w:val="auto"/>
          <w:sz w:val="32"/>
          <w:vertAlign w:val="baseline"/>
        </w:rPr>
        <w:t>M10沙浆砌筑</w:t>
      </w:r>
      <w:r>
        <w:rPr>
          <w:rFonts w:hint="eastAsia" w:ascii="方正仿宋_GBK" w:eastAsia="方正仿宋_GBK"/>
          <w:snapToGrid/>
          <w:color w:val="auto"/>
          <w:sz w:val="32"/>
          <w:vertAlign w:val="baseline"/>
          <w:lang w:val="zh-CN" w:eastAsia="zh-CN"/>
        </w:rPr>
        <w:t>条石，净空1.0m高沟渠，底轮</w:t>
      </w:r>
      <w:r>
        <w:rPr>
          <w:rFonts w:hint="eastAsia" w:ascii="方正仿宋_GBK" w:eastAsia="方正仿宋_GBK"/>
          <w:snapToGrid/>
          <w:color w:val="auto"/>
          <w:sz w:val="32"/>
          <w:vertAlign w:val="baseline"/>
        </w:rPr>
        <w:t>0.5m宽，以上各轮为0.25m宽，</w:t>
      </w:r>
      <w:r>
        <w:rPr>
          <w:rFonts w:hint="eastAsia" w:ascii="方正仿宋_GBK" w:eastAsia="方正仿宋_GBK"/>
          <w:snapToGrid/>
          <w:color w:val="auto"/>
          <w:sz w:val="32"/>
          <w:vertAlign w:val="baseline"/>
          <w:lang w:val="zh-CN" w:eastAsia="zh-CN"/>
        </w:rPr>
        <w:t>净空1.</w:t>
      </w:r>
      <w:r>
        <w:rPr>
          <w:rFonts w:hint="eastAsia" w:ascii="方正仿宋_GBK" w:eastAsia="方正仿宋_GBK"/>
          <w:snapToGrid/>
          <w:color w:val="auto"/>
          <w:sz w:val="32"/>
          <w:vertAlign w:val="baseline"/>
        </w:rPr>
        <w:t>25</w:t>
      </w:r>
      <w:r>
        <w:rPr>
          <w:rFonts w:hint="eastAsia" w:ascii="方正仿宋_GBK" w:eastAsia="方正仿宋_GBK"/>
          <w:snapToGrid/>
          <w:color w:val="auto"/>
          <w:sz w:val="32"/>
          <w:vertAlign w:val="baseline"/>
          <w:lang w:val="zh-CN" w:eastAsia="zh-CN"/>
        </w:rPr>
        <w:t>m高沟渠，底</w:t>
      </w:r>
      <w:r>
        <w:rPr>
          <w:rFonts w:hint="eastAsia" w:ascii="方正仿宋_GBK" w:eastAsia="方正仿宋_GBK"/>
          <w:snapToGrid/>
          <w:color w:val="auto"/>
          <w:sz w:val="32"/>
          <w:vertAlign w:val="baseline"/>
        </w:rPr>
        <w:t>2</w:t>
      </w:r>
      <w:r>
        <w:rPr>
          <w:rFonts w:hint="eastAsia" w:ascii="方正仿宋_GBK" w:eastAsia="方正仿宋_GBK"/>
          <w:snapToGrid/>
          <w:color w:val="auto"/>
          <w:sz w:val="32"/>
          <w:vertAlign w:val="baseline"/>
          <w:lang w:val="zh-CN" w:eastAsia="zh-CN"/>
        </w:rPr>
        <w:t>轮</w:t>
      </w:r>
      <w:r>
        <w:rPr>
          <w:rFonts w:hint="eastAsia" w:ascii="方正仿宋_GBK" w:eastAsia="方正仿宋_GBK"/>
          <w:snapToGrid/>
          <w:color w:val="auto"/>
          <w:sz w:val="32"/>
          <w:vertAlign w:val="baseline"/>
        </w:rPr>
        <w:t>0.5m宽，以上各轮为0.25m宽</w:t>
      </w:r>
      <w:r>
        <w:rPr>
          <w:rFonts w:hint="eastAsia" w:ascii="方正仿宋_GBK" w:eastAsia="方正仿宋_GBK"/>
          <w:snapToGrid/>
          <w:color w:val="auto"/>
          <w:sz w:val="32"/>
          <w:vertAlign w:val="baseline"/>
          <w:lang w:val="zh-CN" w:eastAsia="zh-CN"/>
        </w:rPr>
        <w:t>；深</w:t>
      </w:r>
      <w:r>
        <w:rPr>
          <w:rFonts w:hint="eastAsia" w:ascii="方正仿宋_GBK" w:eastAsia="方正仿宋_GBK"/>
          <w:snapToGrid/>
          <w:color w:val="auto"/>
          <w:sz w:val="32"/>
          <w:vertAlign w:val="baseline"/>
        </w:rPr>
        <w:t>0.6米类型沟渠，沟底夯实平整后，先</w:t>
      </w:r>
      <w:r>
        <w:rPr>
          <w:rFonts w:hint="eastAsia" w:ascii="方正仿宋_GBK" w:eastAsia="方正仿宋_GBK"/>
          <w:snapToGrid/>
          <w:color w:val="auto"/>
          <w:sz w:val="32"/>
          <w:vertAlign w:val="baseline"/>
          <w:lang w:val="zh-CN" w:eastAsia="zh-CN"/>
        </w:rPr>
        <w:t>铺设8cm厚C20砼基础，养护</w:t>
      </w:r>
      <w:r>
        <w:rPr>
          <w:rFonts w:hint="eastAsia" w:ascii="方正仿宋_GBK" w:eastAsia="方正仿宋_GBK"/>
          <w:snapToGrid/>
          <w:color w:val="auto"/>
          <w:sz w:val="32"/>
          <w:vertAlign w:val="baseline"/>
        </w:rPr>
        <w:t>5－7天采用M10沙浆砌筑沟墙，高0.6m，宽0.25m。</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方正楷体_GBK" w:eastAsia="方正楷体_GBK"/>
          <w:snapToGrid/>
          <w:color w:val="auto"/>
          <w:sz w:val="32"/>
          <w:vertAlign w:val="baseline"/>
        </w:rPr>
      </w:pPr>
      <w:r>
        <w:rPr>
          <w:rFonts w:hint="eastAsia" w:ascii="方正楷体_GBK" w:eastAsia="方正楷体_GBK"/>
          <w:snapToGrid/>
          <w:color w:val="auto"/>
          <w:sz w:val="32"/>
          <w:vertAlign w:val="baseline"/>
        </w:rPr>
        <w:t>（三）标准化渔场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方正仿宋_GBK" w:eastAsia="方正仿宋_GBK"/>
          <w:snapToGrid/>
          <w:color w:val="000000"/>
          <w:sz w:val="32"/>
          <w:shd w:val="clear" w:color="000000" w:fill="FFFFFF"/>
          <w:vertAlign w:val="baseline"/>
        </w:rPr>
      </w:pPr>
      <w:r>
        <w:rPr>
          <w:rFonts w:hint="eastAsia" w:ascii="方正仿宋_GBK" w:eastAsia="方正仿宋_GBK"/>
          <w:snapToGrid/>
          <w:color w:val="000000"/>
          <w:sz w:val="32"/>
          <w:shd w:val="clear" w:color="000000" w:fill="FFFFFF"/>
          <w:vertAlign w:val="baseline"/>
          <w:lang w:val="en-US" w:eastAsia="zh-CN"/>
        </w:rPr>
        <w:t>1.</w:t>
      </w:r>
      <w:r>
        <w:rPr>
          <w:rFonts w:hint="eastAsia" w:ascii="方正仿宋_GBK" w:eastAsia="方正仿宋_GBK"/>
          <w:snapToGrid/>
          <w:color w:val="000000"/>
          <w:sz w:val="32"/>
          <w:shd w:val="clear" w:color="000000" w:fill="FFFFFF"/>
          <w:vertAlign w:val="baseline"/>
        </w:rPr>
        <w:t>均质土堤</w:t>
      </w:r>
      <w:r>
        <w:rPr>
          <w:rFonts w:hint="eastAsia" w:ascii="方正仿宋_GBK" w:eastAsia="方正仿宋_GBK"/>
          <w:snapToGrid/>
          <w:color w:val="000000"/>
          <w:sz w:val="32"/>
          <w:shd w:val="clear" w:color="000000" w:fill="FFFFFF"/>
          <w:vertAlign w:val="baseline"/>
          <w:lang w:eastAsia="zh-CN"/>
        </w:rPr>
        <w:t>。</w:t>
      </w:r>
      <w:r>
        <w:rPr>
          <w:rFonts w:hint="eastAsia" w:ascii="方正仿宋_GBK" w:eastAsia="方正仿宋_GBK"/>
          <w:snapToGrid/>
          <w:color w:val="000000"/>
          <w:sz w:val="32"/>
          <w:shd w:val="clear" w:color="000000" w:fill="FFFFFF"/>
          <w:vertAlign w:val="baseline"/>
        </w:rPr>
        <w:t>清除场地草皮、挖土、铺料、碾压、修坡、养护等。要求坝体均质密实，结构稳定，坝体平直，安全稳定，边坡修整后达到1﹕1以上，不垮不漏。机械施工时逐层碾压紧实，每层铺料厚度20-30cm，土块限制直径≤10cm。坝体内外坡严禁</w:t>
      </w:r>
      <w:r>
        <w:rPr>
          <w:rFonts w:hint="eastAsia" w:ascii="方正仿宋_GBK" w:eastAsia="方正仿宋_GBK"/>
          <w:snapToGrid/>
          <w:color w:val="000000"/>
          <w:sz w:val="32"/>
          <w:shd w:val="clear" w:color="000000" w:fill="FFFFFF"/>
          <w:vertAlign w:val="baseline"/>
          <w:lang w:val="en-US" w:eastAsia="zh-CN"/>
        </w:rPr>
        <w:t>种</w:t>
      </w:r>
      <w:r>
        <w:rPr>
          <w:rFonts w:hint="eastAsia" w:ascii="方正仿宋_GBK" w:eastAsia="方正仿宋_GBK"/>
          <w:snapToGrid/>
          <w:color w:val="000000"/>
          <w:sz w:val="32"/>
          <w:shd w:val="clear" w:color="000000" w:fill="FFFFFF"/>
          <w:vertAlign w:val="baseline"/>
        </w:rPr>
        <w:t>植树木。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snapToGrid/>
          <w:color w:val="auto"/>
          <w:sz w:val="32"/>
          <w:vertAlign w:val="baseline"/>
        </w:rPr>
      </w:pPr>
      <w:r>
        <w:rPr>
          <w:rFonts w:hint="eastAsia" w:ascii="方正仿宋_GBK" w:eastAsia="方正仿宋_GBK"/>
          <w:snapToGrid/>
          <w:color w:val="auto"/>
          <w:sz w:val="32"/>
          <w:vertAlign w:val="baseline"/>
        </w:rPr>
        <w:t>2.现浇混</w:t>
      </w:r>
      <w:r>
        <w:rPr>
          <w:rFonts w:hint="eastAsia" w:ascii="方正仿宋_GBK" w:eastAsia="方正仿宋_GBK"/>
          <w:snapToGrid/>
          <w:color w:val="auto"/>
          <w:sz w:val="32"/>
          <w:vertAlign w:val="baseline"/>
          <w:lang w:val="en-US" w:eastAsia="zh-CN"/>
        </w:rPr>
        <w:t>凝</w:t>
      </w:r>
      <w:r>
        <w:rPr>
          <w:rFonts w:hint="eastAsia" w:ascii="方正仿宋_GBK" w:eastAsia="方正仿宋_GBK"/>
          <w:snapToGrid/>
          <w:color w:val="auto"/>
          <w:sz w:val="32"/>
          <w:vertAlign w:val="baseline"/>
        </w:rPr>
        <w:t>土护坡。</w:t>
      </w:r>
      <w:r>
        <w:rPr>
          <w:rFonts w:hint="eastAsia" w:ascii="方正仿宋_GBK" w:eastAsia="方正仿宋_GBK"/>
          <w:snapToGrid/>
          <w:color w:val="000000"/>
          <w:sz w:val="32"/>
          <w:shd w:val="clear" w:color="000000" w:fill="FFFFFF"/>
          <w:vertAlign w:val="baseline"/>
        </w:rPr>
        <w:t>包括修整坡面、铺钢丝网、支模、C20混凝土浇筑、表面</w:t>
      </w:r>
      <w:r>
        <w:rPr>
          <w:rFonts w:hint="eastAsia" w:ascii="方正仿宋_GBK" w:eastAsia="方正仿宋_GBK"/>
          <w:snapToGrid/>
          <w:color w:val="auto"/>
          <w:sz w:val="32"/>
          <w:vertAlign w:val="baseline"/>
        </w:rPr>
        <w:t>抹平、养护等内容</w:t>
      </w:r>
      <w:r>
        <w:rPr>
          <w:rFonts w:hint="eastAsia" w:ascii="方正仿宋_GBK" w:eastAsia="方正仿宋_GBK"/>
          <w:snapToGrid/>
          <w:color w:val="000000"/>
          <w:sz w:val="32"/>
          <w:shd w:val="clear" w:color="000000" w:fill="FFFFFF"/>
          <w:vertAlign w:val="baseline"/>
        </w:rPr>
        <w:t>，要求混凝土厚度10</w:t>
      </w:r>
      <w:r>
        <w:rPr>
          <w:rFonts w:hint="eastAsia" w:ascii="方正仿宋_GBK" w:eastAsia="方正仿宋_GBK"/>
          <w:snapToGrid/>
          <w:color w:val="auto"/>
          <w:sz w:val="32"/>
          <w:vertAlign w:val="baseline"/>
        </w:rPr>
        <w:t>cm。且</w:t>
      </w:r>
      <w:r>
        <w:rPr>
          <w:rFonts w:hint="eastAsia" w:ascii="方正仿宋_GBK" w:eastAsia="方正仿宋_GBK"/>
          <w:snapToGrid/>
          <w:color w:val="000000"/>
          <w:sz w:val="32"/>
          <w:shd w:val="clear" w:color="000000" w:fill="FFFFFF"/>
          <w:vertAlign w:val="baseline"/>
        </w:rPr>
        <w:t>坡面平直、无裂缝</w:t>
      </w:r>
      <w:r>
        <w:rPr>
          <w:rFonts w:hint="eastAsia" w:ascii="方正仿宋_GBK" w:eastAsia="方正仿宋_GBK"/>
          <w:snapToGrid/>
          <w:color w:val="auto"/>
          <w:sz w:val="32"/>
          <w:vertAlign w:val="baseline"/>
        </w:rPr>
        <w:t>。土坝平面临水岸设置安全措施。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snapToGrid/>
          <w:color w:val="auto"/>
          <w:sz w:val="32"/>
          <w:vertAlign w:val="baseline"/>
        </w:rPr>
      </w:pPr>
      <w:r>
        <w:rPr>
          <w:rFonts w:hint="eastAsia" w:ascii="方正仿宋_GBK" w:eastAsia="方正仿宋_GBK"/>
          <w:snapToGrid/>
          <w:color w:val="auto"/>
          <w:sz w:val="32"/>
          <w:vertAlign w:val="baseline"/>
        </w:rPr>
        <w:t>3.砼预制块护坡。</w:t>
      </w:r>
      <w:r>
        <w:rPr>
          <w:rFonts w:hint="eastAsia" w:ascii="方正仿宋_GBK" w:eastAsia="方正仿宋_GBK"/>
          <w:snapToGrid/>
          <w:color w:val="000000"/>
          <w:sz w:val="32"/>
          <w:shd w:val="clear" w:color="000000" w:fill="FFFFFF"/>
          <w:vertAlign w:val="baseline"/>
        </w:rPr>
        <w:t>包括修整坡面、铺复合土工膜和砂、铺砼</w:t>
      </w:r>
      <w:r>
        <w:rPr>
          <w:rFonts w:hint="eastAsia" w:ascii="方正仿宋_GBK" w:eastAsia="方正仿宋_GBK"/>
          <w:snapToGrid/>
          <w:color w:val="auto"/>
          <w:sz w:val="32"/>
          <w:vertAlign w:val="baseline"/>
        </w:rPr>
        <w:t>预制块、勾缝，要求预制块</w:t>
      </w:r>
      <w:r>
        <w:rPr>
          <w:rFonts w:hint="eastAsia" w:ascii="方正仿宋_GBK" w:eastAsia="方正仿宋_GBK"/>
          <w:snapToGrid/>
          <w:color w:val="000000"/>
          <w:sz w:val="32"/>
          <w:shd w:val="clear" w:color="000000" w:fill="FFFFFF"/>
          <w:vertAlign w:val="baseline"/>
        </w:rPr>
        <w:t>厚度8-10</w:t>
      </w:r>
      <w:r>
        <w:rPr>
          <w:rFonts w:hint="eastAsia" w:ascii="方正仿宋_GBK" w:eastAsia="方正仿宋_GBK"/>
          <w:snapToGrid/>
          <w:color w:val="auto"/>
          <w:sz w:val="32"/>
          <w:vertAlign w:val="baseline"/>
        </w:rPr>
        <w:t>cm，砌体间咬扣紧密，错缝无通缝，表面平整。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snapToGrid/>
          <w:color w:val="000000"/>
          <w:sz w:val="32"/>
          <w:shd w:val="clear" w:color="000000" w:fill="FFFFFF"/>
          <w:vertAlign w:val="baseline"/>
        </w:rPr>
      </w:pPr>
      <w:r>
        <w:rPr>
          <w:rFonts w:hint="eastAsia" w:ascii="方正仿宋_GBK" w:eastAsia="方正仿宋_GBK"/>
          <w:snapToGrid/>
          <w:color w:val="auto"/>
          <w:sz w:val="32"/>
          <w:vertAlign w:val="baseline"/>
        </w:rPr>
        <w:t>4.防渗土工膜护坡。按成品方补助，厚度为130-300克/</w:t>
      </w:r>
      <w:r>
        <w:rPr>
          <w:rFonts w:hint="eastAsia" w:ascii="方正仿宋_GBK" w:eastAsia="方正仿宋_GBK"/>
          <w:snapToGrid/>
          <w:color w:val="000000"/>
          <w:sz w:val="32"/>
          <w:shd w:val="clear" w:color="000000" w:fill="FFFFFF"/>
          <w:vertAlign w:val="baseline"/>
        </w:rPr>
        <w:t xml:space="preserve"> m</w:t>
      </w:r>
      <w:r>
        <w:rPr>
          <w:rFonts w:hint="eastAsia" w:ascii="方正仿宋_GBK" w:eastAsia="方正仿宋_GBK"/>
          <w:snapToGrid/>
          <w:color w:val="000000"/>
          <w:sz w:val="32"/>
          <w:shd w:val="clear" w:color="000000" w:fill="FFFFFF"/>
          <w:vertAlign w:val="superscript"/>
        </w:rPr>
        <w:t>2</w:t>
      </w:r>
      <w:r>
        <w:rPr>
          <w:rFonts w:hint="eastAsia" w:ascii="方正仿宋_GBK" w:eastAsia="方正仿宋_GBK"/>
          <w:snapToGrid/>
          <w:color w:val="000000"/>
          <w:sz w:val="32"/>
          <w:shd w:val="clear" w:color="000000" w:fill="FFFFFF"/>
          <w:vertAlign w:val="baseline"/>
        </w:rPr>
        <w:t>，</w:t>
      </w:r>
      <w:r>
        <w:rPr>
          <w:rFonts w:hint="eastAsia" w:ascii="Times New Roman" w:hAnsi="Times New Roman" w:eastAsia="方正仿宋_GBK"/>
          <w:snapToGrid/>
          <w:color w:val="000000"/>
          <w:sz w:val="32"/>
          <w:shd w:val="clear" w:color="000000" w:fill="FFFFFF"/>
          <w:vertAlign w:val="baseline"/>
        </w:rPr>
        <w:t>要求坡面平整，现场热合不漏水，下口埋入池底</w:t>
      </w:r>
      <w:r>
        <w:rPr>
          <w:rFonts w:hint="default" w:ascii="Times New Roman" w:hAnsi="Times New Roman" w:eastAsia="方正仿宋_GBK"/>
          <w:snapToGrid/>
          <w:color w:val="000000"/>
          <w:sz w:val="32"/>
          <w:shd w:val="clear" w:color="000000" w:fill="FFFFFF"/>
          <w:vertAlign w:val="baseline"/>
        </w:rPr>
        <w:t>30</w:t>
      </w:r>
      <w:r>
        <w:rPr>
          <w:rFonts w:hint="eastAsia" w:ascii="Times New Roman" w:hAnsi="Times New Roman" w:eastAsia="方正仿宋_GBK"/>
          <w:snapToGrid/>
          <w:color w:val="000000"/>
          <w:sz w:val="32"/>
          <w:shd w:val="clear" w:color="000000" w:fill="FFFFFF"/>
          <w:vertAlign w:val="baseline"/>
        </w:rPr>
        <w:t>厘米以上。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color w:val="auto"/>
          <w:sz w:val="32"/>
          <w:vertAlign w:val="baseline"/>
        </w:rPr>
      </w:pPr>
      <w:r>
        <w:rPr>
          <w:rFonts w:hint="eastAsia" w:ascii="方正黑体_GBK" w:eastAsia="方正黑体_GBK"/>
          <w:color w:val="auto"/>
          <w:sz w:val="32"/>
          <w:vertAlign w:val="baseline"/>
        </w:rPr>
        <w:t>三、房屋设施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snapToGrid/>
          <w:color w:val="auto"/>
          <w:sz w:val="32"/>
          <w:vertAlign w:val="baseline"/>
        </w:rPr>
      </w:pPr>
      <w:r>
        <w:rPr>
          <w:rFonts w:hint="eastAsia" w:ascii="方正楷体_GBK" w:hAnsi="方正楷体_GBK" w:eastAsia="方正楷体_GBK" w:cs="方正楷体_GBK"/>
          <w:snapToGrid/>
          <w:color w:val="auto"/>
          <w:sz w:val="32"/>
          <w:vertAlign w:val="baseline"/>
        </w:rPr>
        <w:t>（一）新建生产用房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color w:val="auto"/>
          <w:sz w:val="32"/>
          <w:vertAlign w:val="baseline"/>
        </w:rPr>
      </w:pPr>
      <w:r>
        <w:rPr>
          <w:rFonts w:hint="eastAsia" w:ascii="方正仿宋_GBK" w:eastAsia="方正仿宋_GBK"/>
          <w:color w:val="auto"/>
          <w:sz w:val="32"/>
          <w:vertAlign w:val="baseline"/>
        </w:rPr>
        <w:t>墙体厚为24厘米，地面平场后将泥土夯实碾压，再用C30混凝土硬化，混凝土厚度为20cm。基础、地坪、内外墙、门窗、屋面及室内照明工程。构造为砖混、预制（现浇）钢筋混凝土楼板、内外砖墙、木门窗、三合土地面、外墙为清水墙、内墙为石灰沙浆抹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snapToGrid/>
          <w:color w:val="auto"/>
          <w:sz w:val="32"/>
          <w:vertAlign w:val="baseline"/>
        </w:rPr>
      </w:pPr>
      <w:r>
        <w:rPr>
          <w:rFonts w:hint="eastAsia" w:ascii="方正楷体_GBK" w:hAnsi="方正楷体_GBK" w:eastAsia="方正楷体_GBK" w:cs="方正楷体_GBK"/>
          <w:snapToGrid/>
          <w:color w:val="auto"/>
          <w:sz w:val="32"/>
          <w:vertAlign w:val="baseline"/>
        </w:rPr>
        <w:t>（二）彩钢棚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方正仿宋_GBK" w:eastAsia="方正仿宋_GBK"/>
          <w:snapToGrid/>
          <w:color w:val="auto"/>
          <w:sz w:val="32"/>
          <w:vertAlign w:val="baseline"/>
        </w:rPr>
      </w:pPr>
      <w:r>
        <w:rPr>
          <w:rFonts w:hint="eastAsia" w:ascii="方正仿宋_GBK" w:eastAsia="方正仿宋_GBK"/>
          <w:snapToGrid/>
          <w:color w:val="auto"/>
          <w:sz w:val="32"/>
          <w:vertAlign w:val="baseline"/>
        </w:rPr>
        <w:t>地面场地平整的土石方挖运、填方及碾压和地面硬化、棚体建设。建设标准为立柱材质厚度不低于2mm，直径不低于70mm，棚柱间距不大于4m，棚高不低于4.5m，顶棚厚度为70丝，地面平场后将泥土夯实碾压，再用C20混凝土硬化，其中选菜场厚度8cm、过车道（加片石嵌底厚度为25cm）混凝土厚度为20cm。</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snapToGrid/>
          <w:color w:val="auto"/>
          <w:sz w:val="32"/>
          <w:vertAlign w:val="baseline"/>
        </w:rPr>
      </w:pPr>
      <w:r>
        <w:rPr>
          <w:rFonts w:hint="eastAsia" w:ascii="方正楷体_GBK" w:hAnsi="方正楷体_GBK" w:eastAsia="方正楷体_GBK" w:cs="方正楷体_GBK"/>
          <w:snapToGrid/>
          <w:color w:val="auto"/>
          <w:sz w:val="32"/>
          <w:vertAlign w:val="baseline"/>
        </w:rPr>
        <w:t>（三）冷藏库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方正仿宋_GBK" w:eastAsia="方正仿宋_GBK"/>
          <w:snapToGrid/>
          <w:color w:val="auto"/>
          <w:sz w:val="32"/>
          <w:vertAlign w:val="baseline"/>
        </w:rPr>
      </w:pPr>
      <w:r>
        <w:rPr>
          <w:rFonts w:hint="eastAsia" w:ascii="方正仿宋_GBK" w:eastAsia="方正仿宋_GBK"/>
          <w:snapToGrid/>
          <w:color w:val="auto"/>
          <w:sz w:val="32"/>
          <w:vertAlign w:val="baseline"/>
        </w:rPr>
        <w:t>地面场地平整的土石方挖运、填方及碾压和地面硬化、室体、设备（设施）建设工程。建设规格为每个冷藏室容积为100m</w:t>
      </w:r>
      <w:r>
        <w:rPr>
          <w:rFonts w:hint="eastAsia" w:ascii="方正仿宋_GBK" w:eastAsia="方正仿宋_GBK"/>
          <w:snapToGrid/>
          <w:color w:val="auto"/>
          <w:sz w:val="32"/>
          <w:vertAlign w:val="superscript"/>
        </w:rPr>
        <w:t>3</w:t>
      </w:r>
      <w:r>
        <w:rPr>
          <w:rFonts w:hint="eastAsia" w:ascii="方正仿宋_GBK" w:eastAsia="方正仿宋_GBK"/>
          <w:snapToGrid/>
          <w:color w:val="auto"/>
          <w:sz w:val="32"/>
          <w:vertAlign w:val="baseline"/>
        </w:rPr>
        <w:t>以上。建设标准为聚氨酯双面彩钢活动板材或砖砌成、冷藏室制冷设备及动力用电制动系统和室内线路、室内外硬化、室内隔热保温层、屋顶隔热降温处理等。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snapToGrid/>
          <w:color w:val="auto"/>
          <w:sz w:val="32"/>
          <w:vertAlign w:val="baseline"/>
        </w:rPr>
      </w:pPr>
      <w:r>
        <w:rPr>
          <w:rFonts w:hint="eastAsia" w:ascii="方正楷体_GBK" w:hAnsi="方正楷体_GBK" w:eastAsia="方正楷体_GBK" w:cs="方正楷体_GBK"/>
          <w:snapToGrid/>
          <w:color w:val="auto"/>
          <w:sz w:val="32"/>
          <w:vertAlign w:val="baseline"/>
        </w:rPr>
        <w:t>（四）农产品转运场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snapToGrid/>
          <w:color w:val="auto"/>
          <w:sz w:val="32"/>
          <w:vertAlign w:val="baseline"/>
        </w:rPr>
      </w:pPr>
      <w:r>
        <w:rPr>
          <w:rFonts w:hint="eastAsia" w:ascii="方正仿宋_GBK" w:eastAsia="方正仿宋_GBK"/>
          <w:snapToGrid/>
          <w:color w:val="auto"/>
          <w:sz w:val="32"/>
          <w:vertAlign w:val="baseline"/>
        </w:rPr>
        <w:t>地面平场后用泥土夯实碾压；再加片石嵌底，厚度为25cm；再用C30混凝土硬化，厚度为20cm。</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楷体_GBK" w:eastAsia="方正楷体_GBK"/>
          <w:b/>
          <w:snapToGrid/>
          <w:color w:val="auto"/>
          <w:sz w:val="32"/>
          <w:vertAlign w:val="baseline"/>
        </w:rPr>
      </w:pPr>
      <w:r>
        <w:rPr>
          <w:rFonts w:hint="eastAsia" w:ascii="方正黑体_GBK" w:eastAsia="方正黑体_GBK"/>
          <w:snapToGrid/>
          <w:color w:val="auto"/>
          <w:sz w:val="32"/>
          <w:vertAlign w:val="baseline"/>
        </w:rPr>
        <w:t>四、大棚设施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snapToGrid/>
          <w:color w:val="auto"/>
          <w:sz w:val="32"/>
          <w:vertAlign w:val="baseline"/>
        </w:rPr>
      </w:pPr>
      <w:r>
        <w:rPr>
          <w:rFonts w:hint="eastAsia" w:ascii="方正楷体_GBK" w:hAnsi="方正楷体_GBK" w:eastAsia="方正楷体_GBK" w:cs="方正楷体_GBK"/>
          <w:snapToGrid/>
          <w:color w:val="auto"/>
          <w:sz w:val="32"/>
          <w:vertAlign w:val="baseline"/>
        </w:rPr>
        <w:t>（一）GRC水泥骨架大棚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方正仿宋_GBK" w:eastAsia="方正仿宋_GBK"/>
          <w:snapToGrid/>
          <w:color w:val="auto"/>
          <w:kern w:val="0"/>
          <w:sz w:val="32"/>
          <w:vertAlign w:val="baseline"/>
          <w:lang w:val="zh-CN" w:eastAsia="zh-CN"/>
        </w:rPr>
      </w:pPr>
      <w:r>
        <w:rPr>
          <w:rFonts w:hint="eastAsia" w:ascii="方正仿宋_GBK" w:eastAsia="方正仿宋_GBK"/>
          <w:snapToGrid/>
          <w:color w:val="auto"/>
          <w:kern w:val="0"/>
          <w:sz w:val="32"/>
          <w:vertAlign w:val="baseline"/>
          <w:lang w:val="zh-CN" w:eastAsia="zh-CN"/>
        </w:rPr>
        <w:t>建设内容及规格：骨架、飞撑、柱子、螺栓、螺帽等。棚杆间距≤1米，棚宽6.2米，棚两端安装飞撑、柱子各一根。骨架承受压力≥50公斤，抗风7－8级，耐热≤80℃，抗冻≤－40℃，使用寿命15－20年。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snapToGrid/>
          <w:color w:val="auto"/>
          <w:kern w:val="0"/>
          <w:sz w:val="32"/>
          <w:vertAlign w:val="baseline"/>
          <w:lang w:val="zh-CN" w:eastAsia="zh-CN"/>
        </w:rPr>
      </w:pPr>
      <w:r>
        <w:rPr>
          <w:rFonts w:hint="eastAsia" w:ascii="方正楷体_GBK" w:hAnsi="方正楷体_GBK" w:eastAsia="方正楷体_GBK" w:cs="方正楷体_GBK"/>
          <w:snapToGrid/>
          <w:color w:val="auto"/>
          <w:sz w:val="32"/>
          <w:vertAlign w:val="baseline"/>
        </w:rPr>
        <w:t>（二）单栋</w:t>
      </w:r>
      <w:r>
        <w:rPr>
          <w:rFonts w:hint="eastAsia" w:ascii="方正楷体_GBK" w:hAnsi="方正楷体_GBK" w:eastAsia="方正楷体_GBK" w:cs="方正楷体_GBK"/>
          <w:snapToGrid/>
          <w:color w:val="auto"/>
          <w:kern w:val="0"/>
          <w:sz w:val="32"/>
          <w:vertAlign w:val="baseline"/>
          <w:lang w:val="zh-CN" w:eastAsia="zh-CN"/>
        </w:rPr>
        <w:t>钢管大棚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snapToGrid/>
          <w:color w:val="auto"/>
          <w:sz w:val="32"/>
          <w:vertAlign w:val="baseline"/>
        </w:rPr>
      </w:pPr>
      <w:r>
        <w:rPr>
          <w:rFonts w:hint="eastAsia" w:ascii="方正仿宋_GBK" w:eastAsia="方正仿宋_GBK"/>
          <w:snapToGrid/>
          <w:color w:val="auto"/>
          <w:kern w:val="0"/>
          <w:sz w:val="32"/>
          <w:vertAlign w:val="baseline"/>
          <w:lang w:val="zh-CN" w:eastAsia="zh-CN"/>
        </w:rPr>
        <w:t>采用</w:t>
      </w:r>
      <w:r>
        <w:rPr>
          <w:rFonts w:hint="eastAsia" w:ascii="方正仿宋_GBK" w:eastAsia="方正仿宋_GBK"/>
          <w:snapToGrid/>
          <w:color w:val="auto"/>
          <w:sz w:val="32"/>
          <w:vertAlign w:val="baseline"/>
        </w:rPr>
        <w:t>热浸镀锌管材，8 m宽大棚外径在25mm以上，管壁厚在1.5mm以上；6 m宽大棚外径在22mm以上，管壁厚在1.2mm以上。8 m宽大棚钢管拱间距在≤1m，在离棚门1.3m处时要配置钭支撑柱，顶高在2.8m以上。6 m宽钢管大棚拱间距为0.65m，宽度为6m，顶高为2.5m。卷膜器采用手动的液压或葫芦卷膜器，薄膜用蔬菜专用无滴膜、厚度≥8个丝。每个棚两端（4个角）用斜拉杆、每隔6—7根棚杆底座用C</w:t>
      </w:r>
      <w:r>
        <w:rPr>
          <w:rFonts w:hint="eastAsia" w:ascii="方正仿宋_GBK" w:eastAsia="方正仿宋_GBK"/>
          <w:snapToGrid/>
          <w:color w:val="auto"/>
          <w:sz w:val="32"/>
          <w:vertAlign w:val="subscript"/>
        </w:rPr>
        <w:t>20</w:t>
      </w:r>
      <w:r>
        <w:rPr>
          <w:rFonts w:hint="eastAsia" w:ascii="方正仿宋_GBK" w:eastAsia="方正仿宋_GBK"/>
          <w:snapToGrid/>
          <w:color w:val="auto"/>
          <w:sz w:val="32"/>
          <w:vertAlign w:val="baseline"/>
        </w:rPr>
        <w:t>混凝土浇</w:t>
      </w:r>
      <w:r>
        <w:rPr>
          <w:rFonts w:hint="eastAsia" w:ascii="方正仿宋_GBK" w:eastAsia="方正仿宋_GBK"/>
          <w:snapToGrid/>
          <w:color w:val="auto"/>
          <w:sz w:val="32"/>
          <w:vertAlign w:val="baseline"/>
          <w:lang w:val="en-US" w:eastAsia="zh-CN"/>
        </w:rPr>
        <w:t>筑</w:t>
      </w:r>
      <w:r>
        <w:rPr>
          <w:rFonts w:hint="eastAsia" w:ascii="方正仿宋_GBK" w:eastAsia="方正仿宋_GBK"/>
          <w:snapToGrid/>
          <w:color w:val="auto"/>
          <w:sz w:val="32"/>
          <w:vertAlign w:val="baseline"/>
        </w:rPr>
        <w:t>（25×30×50cm规格）墩加固，棚间挖制50×50cm的排水沟。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snapToGrid/>
          <w:color w:val="auto"/>
          <w:sz w:val="32"/>
          <w:vertAlign w:val="baseline"/>
        </w:rPr>
      </w:pPr>
      <w:r>
        <w:rPr>
          <w:rFonts w:hint="eastAsia" w:ascii="方正楷体_GBK" w:hAnsi="方正楷体_GBK" w:eastAsia="方正楷体_GBK" w:cs="方正楷体_GBK"/>
          <w:snapToGrid/>
          <w:color w:val="auto"/>
          <w:sz w:val="32"/>
          <w:vertAlign w:val="baseline"/>
        </w:rPr>
        <w:t>（三）连栋膜温室</w:t>
      </w:r>
      <w:r>
        <w:rPr>
          <w:rFonts w:hint="eastAsia" w:ascii="方正楷体_GBK" w:hAnsi="方正楷体_GBK" w:eastAsia="方正楷体_GBK" w:cs="方正楷体_GBK"/>
          <w:snapToGrid/>
          <w:color w:val="auto"/>
          <w:kern w:val="0"/>
          <w:sz w:val="32"/>
          <w:vertAlign w:val="baseline"/>
          <w:lang w:val="zh-CN" w:eastAsia="zh-CN"/>
        </w:rPr>
        <w:t>大棚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snapToGrid/>
          <w:color w:val="auto"/>
          <w:sz w:val="32"/>
          <w:vertAlign w:val="baseline"/>
        </w:rPr>
      </w:pPr>
      <w:r>
        <w:rPr>
          <w:rFonts w:hint="eastAsia" w:ascii="方正仿宋_GBK" w:eastAsia="方正仿宋_GBK"/>
          <w:snapToGrid/>
          <w:color w:val="auto"/>
          <w:sz w:val="32"/>
          <w:vertAlign w:val="baseline"/>
        </w:rPr>
        <w:t>主体骨架（立柱：双面热镀锌矩型钢管，70×50mm；横梁：ø32×1.8；水槽：冷弯热镀锌钢板，厚度1.8mm）；覆盖材料（15mm厚PEP薄膜及卡簧卡槽等附件）；温室门（镀锌管推拉门（2m*2.1m）；外遮阳系统（专用减速电机，齿轮齿条传动）；内遮阳系统（专用减速电机，齿轮齿条传动）；自然通风系统（顶部电动卷膜开窗系统，侧面电动卷膜开窗系统；环流风机（优质环流风机，0.55kw）；湿帘风机系统，湿帘墙，</w:t>
      </w:r>
      <w:r>
        <w:rPr>
          <w:rFonts w:hint="eastAsia" w:ascii="方正仿宋_GBK" w:eastAsia="方正仿宋_GBK"/>
          <w:snapToGrid/>
          <w:color w:val="auto"/>
          <w:sz w:val="32"/>
          <w:vertAlign w:val="baseline"/>
        </w:rPr>
        <w:tab/>
      </w:r>
      <w:r>
        <w:rPr>
          <w:rFonts w:hint="eastAsia" w:ascii="方正仿宋_GBK" w:eastAsia="方正仿宋_GBK"/>
          <w:snapToGrid/>
          <w:color w:val="auto"/>
          <w:sz w:val="32"/>
          <w:vertAlign w:val="baseline"/>
        </w:rPr>
        <w:t>大风量轴流风机，直径1250mm，湿帘循环水系统，湿帘后电动卷膜开窗）；补光系统（LED植物补光灯90w）；微喷系统（微喷头及首部、管道等）；施肥系统（注肥泵A30）；苗床系统（移动式苗床）；照明系统（双管荧光灯）；电控系统（含电控柜及有关附件等）。申报项目时建设单位需提交建设施工设计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snapToGrid/>
          <w:color w:val="auto"/>
          <w:sz w:val="32"/>
          <w:vertAlign w:val="baseline"/>
        </w:rPr>
      </w:pPr>
      <w:r>
        <w:rPr>
          <w:rFonts w:hint="eastAsia" w:ascii="方正楷体_GBK" w:hAnsi="方正楷体_GBK" w:eastAsia="方正楷体_GBK" w:cs="方正楷体_GBK"/>
          <w:snapToGrid/>
          <w:color w:val="auto"/>
          <w:sz w:val="32"/>
          <w:vertAlign w:val="baseline"/>
        </w:rPr>
        <w:t>（四）生产性玻璃温室大棚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snapToGrid/>
          <w:color w:val="auto"/>
          <w:sz w:val="32"/>
          <w:vertAlign w:val="baseline"/>
        </w:rPr>
      </w:pPr>
      <w:r>
        <w:rPr>
          <w:rFonts w:hint="eastAsia" w:ascii="方正仿宋_GBK" w:eastAsia="方正仿宋_GBK"/>
          <w:snapToGrid/>
          <w:color w:val="auto"/>
          <w:sz w:val="32"/>
          <w:vertAlign w:val="baseline"/>
        </w:rPr>
        <w:t>主体骨架（立柱：双面热镀锌矩型钢管，100×50mm；复合式焊接横梁，50×50㎜；水槽，冷弯热镀锌钢板，厚度2.5mm；防滴</w:t>
      </w:r>
      <w:r>
        <w:rPr>
          <w:rFonts w:hint="eastAsia" w:ascii="方正仿宋_GBK" w:eastAsia="方正仿宋_GBK"/>
          <w:snapToGrid/>
          <w:color w:val="auto"/>
          <w:sz w:val="32"/>
          <w:vertAlign w:val="baseline"/>
          <w:lang w:val="en-US" w:eastAsia="zh-CN"/>
        </w:rPr>
        <w:t>漏</w:t>
      </w:r>
      <w:r>
        <w:rPr>
          <w:rFonts w:hint="eastAsia" w:ascii="方正仿宋_GBK" w:eastAsia="方正仿宋_GBK"/>
          <w:snapToGrid/>
          <w:color w:val="auto"/>
          <w:sz w:val="32"/>
          <w:vertAlign w:val="baseline"/>
        </w:rPr>
        <w:t>系统）；覆盖材料（顶部5mm厚钢化玻璃，铝合金型材、密封胶条及配件，中部5mm厚浮法玻璃，铝合金型材、密封胶条及配件）；温室门（铝合金推拉门（1.5m*2.1m）；外遮阳系统（专用减速电机，齿轮齿条传动）；内遮阳系统（专用减速电机，齿轮齿条传动）；自然通风系统（顶开窗齿轮齿条电动驱动系统，侧面齿轮齿条电动驱动系统）；环流风机（0.55kw）；湿帘风机系统（湿帘墙，大风量轴流风机，直径1250mm，湿帘循环水系统，湿帘后电动齿轮齿条开窗）；补光系统（LED植物补光灯90w）；雾喷系统（雾化喷头及首部、管道等）；施肥系统（注肥泵A30）；顶</w:t>
      </w:r>
      <w:r>
        <w:rPr>
          <w:rFonts w:hint="eastAsia" w:ascii="方正仿宋_GBK" w:eastAsia="方正仿宋_GBK"/>
          <w:snapToGrid/>
          <w:color w:val="auto"/>
          <w:sz w:val="32"/>
          <w:vertAlign w:val="baseline"/>
          <w:lang w:val="en-US" w:eastAsia="zh-CN"/>
        </w:rPr>
        <w:t>部</w:t>
      </w:r>
      <w:r>
        <w:rPr>
          <w:rFonts w:hint="eastAsia" w:ascii="方正仿宋_GBK" w:eastAsia="方正仿宋_GBK"/>
          <w:snapToGrid/>
          <w:color w:val="auto"/>
          <w:sz w:val="32"/>
          <w:vertAlign w:val="baseline"/>
        </w:rPr>
        <w:t>喷淋系统（</w:t>
      </w:r>
      <w:r>
        <w:rPr>
          <w:rFonts w:hint="eastAsia" w:ascii="方正仿宋_GBK" w:eastAsia="方正仿宋_GBK"/>
          <w:snapToGrid/>
          <w:color w:val="auto"/>
          <w:sz w:val="32"/>
          <w:vertAlign w:val="baseline"/>
        </w:rPr>
        <w:tab/>
      </w:r>
      <w:r>
        <w:rPr>
          <w:rFonts w:hint="eastAsia" w:ascii="方正仿宋_GBK" w:eastAsia="方正仿宋_GBK"/>
          <w:snapToGrid/>
          <w:color w:val="auto"/>
          <w:sz w:val="32"/>
          <w:vertAlign w:val="baseline"/>
        </w:rPr>
        <w:t xml:space="preserve">温室顶部喷淋）；苗床系统（移动式苗床）；照明系统（双管荧光灯）；电控系统（含电控柜及有关附件等）。申报项目时建设单位需提交建设施工设计图。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color w:val="auto"/>
          <w:sz w:val="32"/>
          <w:vertAlign w:val="baseline"/>
        </w:rPr>
      </w:pPr>
      <w:r>
        <w:rPr>
          <w:rFonts w:hint="eastAsia" w:ascii="方正黑体_GBK" w:eastAsia="方正黑体_GBK"/>
          <w:color w:val="auto"/>
          <w:sz w:val="32"/>
          <w:vertAlign w:val="baseline"/>
        </w:rPr>
        <w:t>五、设施设备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outlineLvl w:val="9"/>
        <w:rPr>
          <w:rFonts w:hint="eastAsia" w:ascii="方正仿宋_GBK" w:eastAsia="方正仿宋_GBK"/>
          <w:color w:val="000000"/>
          <w:sz w:val="32"/>
          <w:vertAlign w:val="baseline"/>
        </w:rPr>
      </w:pPr>
      <w:r>
        <w:rPr>
          <w:rFonts w:hint="eastAsia" w:ascii="方正仿宋_GBK" w:eastAsia="方正仿宋_GBK"/>
          <w:color w:val="000000"/>
          <w:sz w:val="32"/>
          <w:vertAlign w:val="baseline"/>
        </w:rPr>
        <w:t>包括产品整选、包装、冷链、物流、初（精）加工；电子等</w:t>
      </w:r>
      <w:r>
        <w:rPr>
          <w:rFonts w:hint="eastAsia" w:ascii="方正仿宋_GBK" w:eastAsia="方正仿宋_GBK"/>
          <w:color w:val="auto"/>
          <w:sz w:val="32"/>
          <w:vertAlign w:val="baseline"/>
        </w:rPr>
        <w:t>设备购置等。</w:t>
      </w:r>
      <w:r>
        <w:rPr>
          <w:rFonts w:hint="eastAsia" w:ascii="方正仿宋_GBK" w:eastAsia="方正仿宋_GBK"/>
          <w:color w:val="000000"/>
          <w:sz w:val="32"/>
          <w:vertAlign w:val="baseline"/>
        </w:rPr>
        <w:t>设备购买时要有正规厂家的合格证、生产日期、规格、型号等。发票必须开具同类产品市场价格购买时的全额发票。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color w:val="000000"/>
          <w:sz w:val="32"/>
          <w:vertAlign w:val="baseline"/>
        </w:rPr>
      </w:pPr>
      <w:r>
        <w:rPr>
          <w:rFonts w:hint="eastAsia" w:ascii="方正仿宋_GBK" w:eastAsia="方正仿宋_GBK"/>
          <w:color w:val="000000"/>
          <w:sz w:val="32"/>
          <w:vertAlign w:val="baseline"/>
        </w:rPr>
        <w:t>（一）农机设备分大、中、小型农用机械等。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color w:val="000000"/>
          <w:sz w:val="32"/>
          <w:vertAlign w:val="baseline"/>
        </w:rPr>
      </w:pPr>
      <w:r>
        <w:rPr>
          <w:rFonts w:hint="eastAsia" w:ascii="方正仿宋_GBK" w:eastAsia="方正仿宋_GBK"/>
          <w:color w:val="000000"/>
          <w:sz w:val="32"/>
          <w:vertAlign w:val="baseline"/>
        </w:rPr>
        <w:t>（二）农产品加工设备包括烘干机、压榨机、筛选机、剥壳机等，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color w:val="000000"/>
          <w:sz w:val="32"/>
          <w:vertAlign w:val="baseline"/>
        </w:rPr>
      </w:pPr>
      <w:r>
        <w:rPr>
          <w:rFonts w:hint="eastAsia" w:ascii="方正仿宋_GBK" w:eastAsia="方正仿宋_GBK"/>
          <w:color w:val="000000"/>
          <w:sz w:val="32"/>
          <w:vertAlign w:val="baseline"/>
        </w:rPr>
        <w:t>（三）渔业设施设备包括增氧机、投饵机、发电机、围栏栏杆、防鸟天网和视频监控系统、增氧自动控制、水质在线监测、停电报警等物联网应用系统等。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color w:val="000000"/>
          <w:sz w:val="32"/>
          <w:vertAlign w:val="baseline"/>
        </w:rPr>
      </w:pPr>
      <w:r>
        <w:rPr>
          <w:rFonts w:hint="eastAsia" w:ascii="方正仿宋_GBK" w:eastAsia="方正仿宋_GBK"/>
          <w:color w:val="000000"/>
          <w:sz w:val="32"/>
          <w:vertAlign w:val="baseline"/>
        </w:rPr>
        <w:t>（四）畜牧设施设备包括种母猪限喂栏、种公猪栏、母猪产床、仔猪保育栏、商品肥猪育肥栏、水帘或湿帘降温系统、监控系统等。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color w:val="000000"/>
          <w:sz w:val="32"/>
          <w:vertAlign w:val="baseline"/>
        </w:rPr>
      </w:pPr>
      <w:r>
        <w:rPr>
          <w:rFonts w:hint="eastAsia" w:ascii="方正仿宋_GBK" w:eastAsia="方正仿宋_GBK"/>
          <w:color w:val="000000"/>
          <w:sz w:val="32"/>
          <w:vertAlign w:val="baseline"/>
        </w:rPr>
        <w:t>（五）农村信息化设施设备包括农产品市场营销，建设完善营销网络，互联网、物联网等设施设备等。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color w:val="000000"/>
          <w:sz w:val="32"/>
          <w:vertAlign w:val="baseline"/>
        </w:rPr>
      </w:pPr>
      <w:r>
        <w:rPr>
          <w:rFonts w:hint="eastAsia" w:ascii="方正仿宋_GBK" w:eastAsia="方正仿宋_GBK"/>
          <w:color w:val="000000"/>
          <w:sz w:val="32"/>
          <w:vertAlign w:val="baseline"/>
        </w:rPr>
        <w:t>（六）其</w:t>
      </w:r>
      <w:r>
        <w:rPr>
          <w:rFonts w:hint="eastAsia" w:ascii="方正仿宋_GBK" w:eastAsia="方正仿宋_GBK"/>
          <w:color w:val="000000"/>
          <w:sz w:val="32"/>
          <w:vertAlign w:val="baseline"/>
          <w:lang w:val="en-US" w:eastAsia="zh-CN"/>
        </w:rPr>
        <w:t>他</w:t>
      </w:r>
      <w:r>
        <w:rPr>
          <w:rFonts w:hint="eastAsia" w:ascii="方正仿宋_GBK" w:eastAsia="方正仿宋_GBK"/>
          <w:color w:val="000000"/>
          <w:sz w:val="32"/>
          <w:vertAlign w:val="baseline"/>
        </w:rPr>
        <w:t>设施设备包括管网、杀虫灯、黄板等。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黑体" w:eastAsia="黑体"/>
          <w:snapToGrid/>
          <w:color w:val="auto"/>
          <w:sz w:val="32"/>
          <w:vertAlign w:val="baseline"/>
        </w:rPr>
      </w:pPr>
      <w:r>
        <w:rPr>
          <w:rFonts w:hint="eastAsia" w:ascii="黑体" w:eastAsia="黑体"/>
          <w:snapToGrid/>
          <w:color w:val="auto"/>
          <w:sz w:val="32"/>
          <w:vertAlign w:val="baseline"/>
        </w:rPr>
        <w:t>六、社会化服务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snapToGrid/>
          <w:color w:val="FF0000"/>
          <w:sz w:val="32"/>
          <w:vertAlign w:val="baseline"/>
        </w:rPr>
      </w:pPr>
      <w:r>
        <w:rPr>
          <w:rFonts w:hint="eastAsia" w:ascii="方正仿宋_GBK" w:eastAsia="方正仿宋_GBK"/>
          <w:snapToGrid/>
          <w:color w:val="000000"/>
          <w:sz w:val="32"/>
          <w:vertAlign w:val="baseline"/>
        </w:rPr>
        <w:t>包括农机作业、病虫害统防统治、生产管理、工厂化育苗（秧）等。建设标准参照相关的建设标准执行。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黑体" w:eastAsia="黑体"/>
          <w:snapToGrid/>
          <w:color w:val="auto"/>
          <w:sz w:val="32"/>
          <w:vertAlign w:val="baseline"/>
        </w:rPr>
      </w:pPr>
      <w:r>
        <w:rPr>
          <w:rFonts w:hint="eastAsia" w:ascii="黑体" w:eastAsia="黑体"/>
          <w:snapToGrid/>
          <w:color w:val="auto"/>
          <w:sz w:val="32"/>
          <w:vertAlign w:val="baseline"/>
        </w:rPr>
        <w:t>七、附则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方正仿宋_GBK" w:eastAsia="方正仿宋_GBK"/>
          <w:snapToGrid/>
          <w:color w:val="auto"/>
          <w:sz w:val="32"/>
          <w:vertAlign w:val="baseline"/>
        </w:rPr>
      </w:pPr>
      <w:r>
        <w:rPr>
          <w:rFonts w:hint="eastAsia" w:ascii="方正仿宋_GBK" w:eastAsia="方正仿宋_GBK"/>
          <w:snapToGrid/>
          <w:color w:val="000000"/>
          <w:sz w:val="32"/>
          <w:vertAlign w:val="baseline"/>
        </w:rPr>
        <w:t>（一）</w:t>
      </w:r>
      <w:r>
        <w:rPr>
          <w:rFonts w:hint="eastAsia" w:ascii="方正仿宋_GBK" w:eastAsia="方正仿宋_GBK"/>
          <w:snapToGrid/>
          <w:color w:val="auto"/>
          <w:sz w:val="32"/>
          <w:vertAlign w:val="baseline"/>
        </w:rPr>
        <w:t>货物类购置项目，买方必须与卖方签订购销合同。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snapToGrid/>
          <w:color w:val="auto"/>
          <w:sz w:val="32"/>
          <w:vertAlign w:val="baseline"/>
        </w:rPr>
      </w:pPr>
      <w:r>
        <w:rPr>
          <w:rFonts w:hint="eastAsia" w:ascii="方正仿宋_GBK" w:eastAsia="方正仿宋_GBK"/>
          <w:snapToGrid/>
          <w:color w:val="000000"/>
          <w:sz w:val="32"/>
          <w:vertAlign w:val="baseline"/>
        </w:rPr>
        <w:t>（二）农业工程类项目建设中，同</w:t>
      </w:r>
      <w:r>
        <w:rPr>
          <w:rFonts w:hint="eastAsia" w:ascii="方正仿宋_GBK" w:eastAsia="方正仿宋_GBK"/>
          <w:snapToGrid/>
          <w:color w:val="auto"/>
          <w:sz w:val="32"/>
          <w:vertAlign w:val="baseline"/>
        </w:rPr>
        <w:t>一项目中10万元以上的单个建设内容及标准，申报业主须由有设计资质的单位设计并提交设计方案（含设计施工图）。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方正仿宋_GBK" w:eastAsia="方正仿宋_GBK"/>
          <w:snapToGrid/>
          <w:color w:val="auto"/>
          <w:sz w:val="32"/>
          <w:vertAlign w:val="baseline"/>
        </w:rPr>
      </w:pPr>
      <w:r>
        <w:rPr>
          <w:rFonts w:hint="eastAsia" w:ascii="方正仿宋_GBK" w:eastAsia="方正仿宋_GBK"/>
          <w:snapToGrid/>
          <w:color w:val="auto"/>
          <w:sz w:val="32"/>
          <w:vertAlign w:val="baseline"/>
        </w:rPr>
        <w:t>（三）本文件未涵盖的建设内容，设施设备购置，按实际方量、实际造价核定投资标准，按相关补贴政策确定补贴金额。</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eastAsia" w:ascii="方正仿宋_GBK" w:eastAsia="方正仿宋_GBK"/>
          <w:sz w:val="32"/>
        </w:rPr>
      </w:pPr>
      <w:r>
        <w:rPr>
          <w:rFonts w:hint="eastAsia" w:ascii="方正仿宋_GBK" w:eastAsia="方正仿宋_GBK"/>
          <w:sz w:val="32"/>
        </w:rPr>
        <w:t>（四）适用范围。特色效益、扶贫开发、新农村建设、农村“一事一议”等，其他部门涉及相应项目可参照执行。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方正仿宋_GBK" w:eastAsia="方正仿宋_GBK"/>
          <w:snapToGrid w:val="0"/>
          <w:kern w:val="0"/>
          <w:sz w:val="28"/>
          <w:lang w:eastAsia="zh-CN"/>
        </w:rPr>
      </w:pPr>
      <w:r>
        <w:rPr>
          <w:rFonts w:hint="eastAsia" w:ascii="方正仿宋_GBK" w:eastAsia="方正仿宋_GBK"/>
          <w:color w:val="auto"/>
          <w:sz w:val="32"/>
          <w:vertAlign w:val="baseline"/>
        </w:rPr>
        <w:t>（五）本通知中涉及的技术规范和建设标准由区农委负责解释。</w:t>
      </w:r>
    </w:p>
    <w:sectPr>
      <w:headerReference r:id="rId7" w:type="default"/>
      <w:footerReference r:id="rId8"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重庆市江津区财政局</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重庆市江津区财政局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140335</wp:posOffset>
              </wp:positionV>
              <wp:extent cx="5615940" cy="0"/>
              <wp:effectExtent l="0" t="10795" r="3810" b="17780"/>
              <wp:wrapNone/>
              <wp:docPr id="18" name="直接连接符 18"/>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6432;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WGuU1QAA&#10;AAgBAAAPAAAAAAAAAAEAIAAAACIAAABkcnMvZG93bnJldi54bWxQSwECFAAUAAAACACHTuJAQhoM&#10;iugBAAC0AwAADgAAAAAAAAABACAAAAAkAQAAZHJzL2Uyb0RvYy54bWxQSwUGAAAAAAYABgBZAQAA&#10;fgU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重庆市江津区财政局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重庆市江津区财政局行政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462280</wp:posOffset>
              </wp:positionV>
              <wp:extent cx="8268970" cy="0"/>
              <wp:effectExtent l="0" t="10795" r="17780" b="17780"/>
              <wp:wrapNone/>
              <wp:docPr id="2" name="直接连接符 2"/>
              <wp:cNvGraphicFramePr/>
              <a:graphic xmlns:a="http://schemas.openxmlformats.org/drawingml/2006/main">
                <a:graphicData uri="http://schemas.microsoft.com/office/word/2010/wordprocessingShape">
                  <wps:wsp>
                    <wps:cNvCnPr/>
                    <wps:spPr>
                      <a:xfrm>
                        <a:off x="4133850" y="864870"/>
                        <a:ext cx="826897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36.4pt;height:0pt;width:651.1pt;z-index:251662336;mso-width-relative:page;mso-height-relative:page;" filled="f" stroked="t" coordsize="21600,21600" o:gfxdata="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MnXs3SAAAABwEAAA8AAAAAAAAAAQAgAAAAIgAAAGRycy9kb3ducmV2LnhtbFBLAQIUABQAAAAI&#10;AIdO4kDSMSog8wEAAL0DAAAOAAAAAAAAAAEAIAAAACE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重庆市江津区财政局行政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5715</wp:posOffset>
              </wp:positionH>
              <wp:positionV relativeFrom="paragraph">
                <wp:posOffset>443230</wp:posOffset>
              </wp:positionV>
              <wp:extent cx="5629275" cy="0"/>
              <wp:effectExtent l="0" t="10795" r="9525" b="17780"/>
              <wp:wrapNone/>
              <wp:docPr id="15" name="直接连接符 15"/>
              <wp:cNvGraphicFramePr/>
              <a:graphic xmlns:a="http://schemas.openxmlformats.org/drawingml/2006/main">
                <a:graphicData uri="http://schemas.microsoft.com/office/word/2010/wordprocessingShape">
                  <wps:wsp>
                    <wps:cNvCnPr/>
                    <wps:spPr>
                      <a:xfrm>
                        <a:off x="4133850" y="864870"/>
                        <a:ext cx="56292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34.9pt;height:0pt;width:443.25pt;z-index:251665408;mso-width-relative:page;mso-height-relative:page;" filled="f" stroked="t" coordsize="21600,21600" o:gfxdata="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oQ1qdIAAAAGAQAADwAAAAAAAAABACAAAAAiAAAAZHJzL2Rvd25yZXYueG1sUEsBAhQAFAAA&#10;AAgAh07iQNrPf2P1AQAAvwMAAA4AAAAAAAAAAQAgAAAAIQ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6" name="图片 1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重庆市江津区财政局行政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M2MwYTIyOWZkNWMxY2U0MDgyNjQwYzA2NTViOGUifQ=="/>
  </w:docVars>
  <w:rsids>
    <w:rsidRoot w:val="00172A27"/>
    <w:rsid w:val="019E71BD"/>
    <w:rsid w:val="01E93D58"/>
    <w:rsid w:val="04B679C3"/>
    <w:rsid w:val="05F07036"/>
    <w:rsid w:val="06E00104"/>
    <w:rsid w:val="07802AAA"/>
    <w:rsid w:val="080F63D8"/>
    <w:rsid w:val="084B64DE"/>
    <w:rsid w:val="0866480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A407EC7"/>
    <w:rsid w:val="2AE022D6"/>
    <w:rsid w:val="2DD05FE1"/>
    <w:rsid w:val="2EAE3447"/>
    <w:rsid w:val="30932194"/>
    <w:rsid w:val="31A15F24"/>
    <w:rsid w:val="36FB1DF0"/>
    <w:rsid w:val="395347B5"/>
    <w:rsid w:val="39A232A0"/>
    <w:rsid w:val="39E745AA"/>
    <w:rsid w:val="3B5A6BBB"/>
    <w:rsid w:val="3CA154E3"/>
    <w:rsid w:val="3DB94A57"/>
    <w:rsid w:val="3EDA13A6"/>
    <w:rsid w:val="3FF56C14"/>
    <w:rsid w:val="417B75E9"/>
    <w:rsid w:val="42430A63"/>
    <w:rsid w:val="42F058B7"/>
    <w:rsid w:val="436109F6"/>
    <w:rsid w:val="441A38D4"/>
    <w:rsid w:val="4504239D"/>
    <w:rsid w:val="46E92D56"/>
    <w:rsid w:val="4BC77339"/>
    <w:rsid w:val="4C9236C5"/>
    <w:rsid w:val="4E250A85"/>
    <w:rsid w:val="4FFD4925"/>
    <w:rsid w:val="505C172E"/>
    <w:rsid w:val="506405EA"/>
    <w:rsid w:val="52F46F0B"/>
    <w:rsid w:val="532B6A10"/>
    <w:rsid w:val="539E4E99"/>
    <w:rsid w:val="53D8014D"/>
    <w:rsid w:val="54F504A2"/>
    <w:rsid w:val="550C209A"/>
    <w:rsid w:val="550E791E"/>
    <w:rsid w:val="55E064E0"/>
    <w:rsid w:val="571103DD"/>
    <w:rsid w:val="572C6D10"/>
    <w:rsid w:val="57D85EE7"/>
    <w:rsid w:val="5DC34279"/>
    <w:rsid w:val="5FCD688E"/>
    <w:rsid w:val="5FF9BDAA"/>
    <w:rsid w:val="608816D1"/>
    <w:rsid w:val="60EF4E7F"/>
    <w:rsid w:val="63831956"/>
    <w:rsid w:val="648B0A32"/>
    <w:rsid w:val="658F6764"/>
    <w:rsid w:val="665233C1"/>
    <w:rsid w:val="69AC0D42"/>
    <w:rsid w:val="6AD9688B"/>
    <w:rsid w:val="6B68303F"/>
    <w:rsid w:val="6D0E3F22"/>
    <w:rsid w:val="70EF1709"/>
    <w:rsid w:val="7127180F"/>
    <w:rsid w:val="713D55D9"/>
    <w:rsid w:val="73925449"/>
    <w:rsid w:val="744E4660"/>
    <w:rsid w:val="753355A2"/>
    <w:rsid w:val="759F1C61"/>
    <w:rsid w:val="769F2DE8"/>
    <w:rsid w:val="76FDEB7C"/>
    <w:rsid w:val="79C65162"/>
    <w:rsid w:val="79EE7E31"/>
    <w:rsid w:val="7C58330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黑体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0" w:beforeAutospacing="0" w:after="0" w:afterAutospacing="0" w:line="240" w:lineRule="auto"/>
      <w:ind w:left="0" w:right="0" w:firstLine="200" w:firstLineChars="200"/>
      <w:jc w:val="both"/>
      <w:textAlignment w:val="auto"/>
      <w:outlineLvl w:val="9"/>
    </w:pPr>
    <w:rPr>
      <w:rFonts w:ascii="方正仿宋_GBK" w:hAnsi="Times New Roman" w:eastAsia="方正仿宋_GBK" w:cs="Times New Roman"/>
      <w:snapToGrid/>
      <w:color w:val="auto"/>
      <w:spacing w:val="0"/>
      <w:w w:val="100"/>
      <w:kern w:val="2"/>
      <w:position w:val="0"/>
      <w:sz w:val="32"/>
      <w:u w:val="none" w:color="auto"/>
      <w:vertAlign w:val="baseline"/>
      <w:lang w:val="en-US" w:eastAsia="zh-CN"/>
    </w:rPr>
  </w:style>
  <w:style w:type="paragraph" w:styleId="5">
    <w:name w:val="Plain Text"/>
    <w:next w:val="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0" w:beforeAutospacing="0" w:after="0" w:afterAutospacing="0" w:line="240" w:lineRule="auto"/>
      <w:ind w:left="0" w:right="0" w:firstLine="0"/>
      <w:jc w:val="both"/>
      <w:textAlignment w:val="auto"/>
      <w:outlineLvl w:val="9"/>
    </w:pPr>
    <w:rPr>
      <w:rFonts w:ascii="宋体" w:hAnsi="Times New Roman" w:eastAsia="宋体" w:cs="Times New Roman"/>
      <w:snapToGrid/>
      <w:color w:val="auto"/>
      <w:spacing w:val="0"/>
      <w:w w:val="100"/>
      <w:kern w:val="2"/>
      <w:position w:val="0"/>
      <w:sz w:val="21"/>
      <w:u w:val="none" w:color="auto"/>
      <w:vertAlign w:val="baseline"/>
      <w:lang w:val="en-US" w:eastAsia="zh-CN"/>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er"/>
    <w:basedOn w:val="1"/>
    <w:next w:val="4"/>
    <w:qFormat/>
    <w:uiPriority w:val="0"/>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1283</Words>
  <Characters>1338</Characters>
  <Lines>1</Lines>
  <Paragraphs>1</Paragraphs>
  <TotalTime>58</TotalTime>
  <ScaleCrop>false</ScaleCrop>
  <LinksUpToDate>false</LinksUpToDate>
  <CharactersWithSpaces>1382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天现</cp:lastModifiedBy>
  <cp:lastPrinted>2022-06-06T16:09:00Z</cp:lastPrinted>
  <dcterms:modified xsi:type="dcterms:W3CDTF">2023-11-01T03:04:02Z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