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40" w:lineRule="exact"/>
        <w:ind w:left="320" w:leftChars="100" w:right="320" w:rightChars="100"/>
        <w:jc w:val="center"/>
        <w:rPr>
          <w:rFonts w:hint="eastAsia" w:ascii="宋体" w:hAnsi="宋体" w:eastAsia="方正小标宋_GBK"/>
          <w:sz w:val="44"/>
        </w:rPr>
      </w:pPr>
    </w:p>
    <w:p>
      <w:pPr>
        <w:ind w:firstLine="640" w:firstLineChars="200"/>
        <w:rPr>
          <w:rFonts w:hint="eastAsia" w:ascii="宋体" w:hAnsi="宋体" w:eastAsia="方正黑体_GBK"/>
        </w:rPr>
      </w:pPr>
    </w:p>
    <w:p>
      <w:pPr>
        <w:rPr>
          <w:rFonts w:hint="eastAsia" w:ascii="宋体" w:hAnsi="宋体" w:eastAsia="方正黑体_GBK"/>
        </w:rPr>
      </w:pPr>
    </w:p>
    <w:p>
      <w:pPr>
        <w:rPr>
          <w:rFonts w:hint="eastAsia" w:ascii="宋体" w:hAnsi="宋体" w:eastAsia="方正黑体_GBK"/>
        </w:rPr>
      </w:pPr>
    </w:p>
    <w:p>
      <w:pPr>
        <w:rPr>
          <w:rFonts w:hint="eastAsia" w:ascii="宋体" w:hAnsi="宋体" w:eastAsia="方正黑体_GBK"/>
        </w:rPr>
      </w:pPr>
    </w:p>
    <w:p>
      <w:pPr>
        <w:spacing w:line="579" w:lineRule="exact"/>
        <w:jc w:val="center"/>
        <w:rPr>
          <w:rFonts w:hint="eastAsia" w:ascii="宋体" w:hAnsi="宋体" w:eastAsia="方正小标宋_GBK"/>
          <w:sz w:val="44"/>
          <w:szCs w:val="44"/>
        </w:rPr>
      </w:pPr>
      <w:r>
        <w:rPr>
          <w:rFonts w:hint="eastAsia" w:ascii="宋体" w:hAnsi="宋体" w:eastAsia="方正小标宋_GBK"/>
          <w:sz w:val="44"/>
          <w:szCs w:val="44"/>
        </w:rPr>
        <w:t>重庆市江津区财政局</w:t>
      </w:r>
    </w:p>
    <w:p>
      <w:pPr>
        <w:spacing w:line="579" w:lineRule="exact"/>
        <w:jc w:val="center"/>
        <w:rPr>
          <w:rFonts w:hint="eastAsia" w:ascii="宋体" w:hAnsi="宋体" w:eastAsia="方正黑体_GBK"/>
        </w:rPr>
      </w:pPr>
      <w:r>
        <w:rPr>
          <w:rFonts w:hint="eastAsia" w:ascii="宋体" w:hAnsi="宋体" w:eastAsia="方正小标宋_GBK"/>
          <w:sz w:val="44"/>
          <w:szCs w:val="44"/>
        </w:rPr>
        <w:t>关于江津区20</w:t>
      </w:r>
      <w:r>
        <w:rPr>
          <w:rFonts w:hint="eastAsia" w:ascii="宋体" w:hAnsi="宋体" w:eastAsia="方正小标宋_GBK"/>
          <w:sz w:val="44"/>
          <w:szCs w:val="44"/>
          <w:lang w:val="en-US" w:eastAsia="zh-CN"/>
        </w:rPr>
        <w:t>20</w:t>
      </w:r>
      <w:r>
        <w:rPr>
          <w:rFonts w:hint="eastAsia" w:ascii="宋体" w:hAnsi="宋体" w:eastAsia="方正小标宋_GBK"/>
          <w:sz w:val="44"/>
          <w:szCs w:val="44"/>
        </w:rPr>
        <w:t>年财政决算的报告</w:t>
      </w:r>
    </w:p>
    <w:p>
      <w:pPr>
        <w:spacing w:line="579" w:lineRule="exact"/>
        <w:jc w:val="center"/>
        <w:rPr>
          <w:rFonts w:ascii="宋体" w:hAnsi="宋体" w:eastAsia="方正小标宋_GBK"/>
          <w:sz w:val="44"/>
          <w:szCs w:val="44"/>
        </w:rPr>
      </w:pPr>
    </w:p>
    <w:p>
      <w:pPr>
        <w:spacing w:line="579" w:lineRule="exact"/>
        <w:ind w:firstLine="640" w:firstLineChars="200"/>
      </w:pPr>
      <w:r>
        <w:rPr>
          <w:rFonts w:ascii="宋体" w:hAnsi="宋体" w:eastAsia="宋体" w:cs="宋体"/>
        </w:rPr>
        <w:t>2020</w:t>
      </w:r>
      <w:r>
        <w:rPr>
          <w:rFonts w:hint="eastAsia" w:ascii="方正仿宋_GBK" w:hAnsi="方正仿宋_GBK" w:cs="方正仿宋_GBK"/>
        </w:rPr>
        <w:t>年，是全面建成小康社会和“十三五”规划的收官之年，也是应对疫情和洪涝灾害考验极不</w:t>
      </w:r>
      <w:r>
        <w:rPr>
          <w:rFonts w:hint="eastAsia"/>
        </w:rPr>
        <w:t>平凡的一年。全区财政系统坚持以习近平新时代中国特色社会主义思想为指导，深入贯彻党的十九大和十九届二中、三中、四中和五中全会精神，认真落实市委五届九次全会精神，围绕区委区政府决策部署，增强“四个意识”，坚定“四个自信”，做到“两个维护”，全力支持打好“三大攻坚战”和落实“十项行动计划”，充分发挥财政逆周期调节作用，落实更加积极的财政政策，加大“六保”力度，做好“六稳”工作，较好地服务了全区疫情防控和经济社会发展大局。</w:t>
      </w:r>
    </w:p>
    <w:p>
      <w:pPr>
        <w:spacing w:line="579" w:lineRule="exact"/>
        <w:ind w:firstLine="640" w:firstLineChars="200"/>
        <w:rPr>
          <w:rFonts w:ascii="宋体" w:hAnsi="宋体" w:eastAsia="方正黑体_GBK"/>
        </w:rPr>
      </w:pPr>
      <w:r>
        <w:rPr>
          <w:rFonts w:hint="eastAsia" w:ascii="宋体" w:hAnsi="宋体" w:eastAsia="方正黑体_GBK"/>
        </w:rPr>
        <w:t>一、</w:t>
      </w:r>
      <w:r>
        <w:rPr>
          <w:rFonts w:ascii="宋体" w:hAnsi="宋体" w:eastAsia="方正黑体_GBK"/>
        </w:rPr>
        <w:t>2020</w:t>
      </w:r>
      <w:r>
        <w:rPr>
          <w:rFonts w:hint="eastAsia" w:ascii="宋体" w:hAnsi="宋体" w:eastAsia="方正黑体_GBK"/>
        </w:rPr>
        <w:t>年财政收支决算情况</w:t>
      </w:r>
    </w:p>
    <w:p>
      <w:pPr>
        <w:spacing w:line="579" w:lineRule="exact"/>
        <w:ind w:firstLine="640" w:firstLineChars="200"/>
        <w:rPr>
          <w:rFonts w:ascii="宋体" w:hAnsi="宋体" w:eastAsia="方正楷体_GBK"/>
        </w:rPr>
      </w:pPr>
      <w:r>
        <w:rPr>
          <w:rFonts w:hint="eastAsia" w:ascii="宋体" w:hAnsi="宋体" w:eastAsia="方正楷体_GBK"/>
        </w:rPr>
        <w:t>（一）全区财政收支决算情况</w:t>
      </w:r>
    </w:p>
    <w:p>
      <w:pPr>
        <w:spacing w:line="579" w:lineRule="exact"/>
        <w:ind w:firstLine="640" w:firstLineChars="200"/>
        <w:rPr>
          <w:rFonts w:ascii="宋体" w:eastAsia="宋体"/>
        </w:rPr>
      </w:pPr>
      <w:r>
        <w:rPr>
          <w:rFonts w:ascii="宋体" w:hAnsi="宋体"/>
        </w:rPr>
        <w:t>1</w:t>
      </w:r>
      <w:r>
        <w:rPr>
          <w:rFonts w:hint="eastAsia" w:ascii="宋体" w:hAnsi="宋体"/>
        </w:rPr>
        <w:t>．一般公共预算</w:t>
      </w:r>
    </w:p>
    <w:p>
      <w:pPr>
        <w:spacing w:line="579" w:lineRule="exact"/>
        <w:ind w:firstLine="640" w:firstLineChars="200"/>
        <w:rPr>
          <w:rFonts w:ascii="宋体" w:eastAsia="宋体"/>
        </w:rPr>
      </w:pPr>
      <w:r>
        <w:rPr>
          <w:rFonts w:ascii="宋体" w:hAnsi="宋体"/>
        </w:rPr>
        <w:t>——</w:t>
      </w:r>
      <w:r>
        <w:rPr>
          <w:rFonts w:hint="eastAsia" w:ascii="宋体" w:hAnsi="宋体"/>
        </w:rPr>
        <w:t>全区一般公共预算收入</w:t>
      </w:r>
      <w:r>
        <w:rPr>
          <w:rFonts w:ascii="宋体" w:hAnsi="宋体"/>
        </w:rPr>
        <w:t>61.21</w:t>
      </w:r>
      <w:r>
        <w:rPr>
          <w:rFonts w:hint="eastAsia" w:ascii="宋体" w:hAnsi="宋体"/>
        </w:rPr>
        <w:t>亿元，下降</w:t>
      </w:r>
      <w:r>
        <w:rPr>
          <w:rFonts w:ascii="宋体" w:hAnsi="宋体"/>
        </w:rPr>
        <w:t>6.5%</w:t>
      </w:r>
      <w:r>
        <w:rPr>
          <w:rFonts w:hint="eastAsia" w:ascii="宋体" w:hAnsi="宋体"/>
        </w:rPr>
        <w:t>，为预算（为调整预算，下同）的</w:t>
      </w:r>
      <w:r>
        <w:rPr>
          <w:rFonts w:ascii="宋体" w:hAnsi="宋体"/>
        </w:rPr>
        <w:t>100.3%</w:t>
      </w:r>
      <w:r>
        <w:rPr>
          <w:rFonts w:hint="eastAsia" w:ascii="宋体" w:hAnsi="宋体"/>
        </w:rPr>
        <w:t>。加上上级补助收入</w:t>
      </w:r>
      <w:r>
        <w:rPr>
          <w:rFonts w:ascii="宋体" w:hAnsi="宋体"/>
        </w:rPr>
        <w:t>54.11</w:t>
      </w:r>
      <w:r>
        <w:rPr>
          <w:rFonts w:hint="eastAsia" w:ascii="宋体" w:hAnsi="宋体"/>
        </w:rPr>
        <w:t>亿元、调入资金</w:t>
      </w:r>
      <w:r>
        <w:rPr>
          <w:rFonts w:ascii="宋体" w:hAnsi="宋体"/>
        </w:rPr>
        <w:t>18.85</w:t>
      </w:r>
      <w:r>
        <w:rPr>
          <w:rFonts w:hint="eastAsia" w:ascii="宋体" w:hAnsi="宋体"/>
        </w:rPr>
        <w:t>亿元、调入预算稳定调节基金</w:t>
      </w:r>
      <w:r>
        <w:rPr>
          <w:rFonts w:ascii="宋体" w:hAnsi="宋体"/>
        </w:rPr>
        <w:t>1.14</w:t>
      </w:r>
      <w:r>
        <w:rPr>
          <w:rFonts w:hint="eastAsia" w:ascii="宋体" w:hAnsi="宋体"/>
        </w:rPr>
        <w:t>亿元、地方政府债券转贷收入</w:t>
      </w:r>
      <w:r>
        <w:rPr>
          <w:rFonts w:ascii="宋体" w:hAnsi="宋体"/>
        </w:rPr>
        <w:t>5.78</w:t>
      </w:r>
      <w:r>
        <w:rPr>
          <w:rFonts w:hint="eastAsia" w:ascii="宋体" w:hAnsi="宋体"/>
        </w:rPr>
        <w:t>亿元，上年结转</w:t>
      </w:r>
      <w:r>
        <w:rPr>
          <w:rFonts w:ascii="宋体" w:hAnsi="宋体"/>
        </w:rPr>
        <w:t>0.30</w:t>
      </w:r>
      <w:r>
        <w:rPr>
          <w:rFonts w:hint="eastAsia" w:ascii="宋体" w:hAnsi="宋体"/>
        </w:rPr>
        <w:t>亿元，收入总计</w:t>
      </w:r>
      <w:r>
        <w:rPr>
          <w:rFonts w:ascii="宋体" w:hAnsi="宋体"/>
        </w:rPr>
        <w:t>141.39</w:t>
      </w:r>
      <w:r>
        <w:rPr>
          <w:rFonts w:hint="eastAsia" w:ascii="宋体" w:hAnsi="宋体"/>
        </w:rPr>
        <w:t>亿元。</w:t>
      </w:r>
    </w:p>
    <w:p>
      <w:pPr>
        <w:spacing w:line="579" w:lineRule="exact"/>
        <w:ind w:firstLine="640" w:firstLineChars="200"/>
        <w:rPr>
          <w:rFonts w:ascii="宋体" w:hAnsi="宋体" w:eastAsia="方正黑体_GBK"/>
        </w:rPr>
      </w:pPr>
      <w:r>
        <w:rPr>
          <w:rFonts w:ascii="宋体" w:hAnsi="宋体"/>
        </w:rPr>
        <w:t>——</w:t>
      </w:r>
      <w:r>
        <w:rPr>
          <w:rFonts w:hint="eastAsia" w:ascii="宋体" w:hAnsi="宋体"/>
        </w:rPr>
        <w:t>全区一般公共预算支出</w:t>
      </w:r>
      <w:r>
        <w:rPr>
          <w:rFonts w:ascii="宋体" w:hAnsi="宋体"/>
        </w:rPr>
        <w:t>126.90</w:t>
      </w:r>
      <w:r>
        <w:rPr>
          <w:rFonts w:hint="eastAsia" w:ascii="宋体" w:hAnsi="宋体"/>
        </w:rPr>
        <w:t>亿元，下降</w:t>
      </w:r>
      <w:r>
        <w:rPr>
          <w:rFonts w:ascii="宋体" w:hAnsi="宋体"/>
        </w:rPr>
        <w:t>8.7%</w:t>
      </w:r>
      <w:r>
        <w:rPr>
          <w:rFonts w:hint="eastAsia" w:ascii="宋体" w:hAnsi="宋体"/>
        </w:rPr>
        <w:t>，为预算的</w:t>
      </w:r>
      <w:r>
        <w:rPr>
          <w:rFonts w:ascii="宋体" w:hAnsi="宋体"/>
        </w:rPr>
        <w:t>99.1%</w:t>
      </w:r>
      <w:r>
        <w:rPr>
          <w:rFonts w:hint="eastAsia" w:ascii="宋体" w:hAnsi="宋体"/>
        </w:rPr>
        <w:t>。加上上解上级支出</w:t>
      </w:r>
      <w:r>
        <w:rPr>
          <w:rFonts w:ascii="宋体" w:hAnsi="宋体"/>
        </w:rPr>
        <w:t>6.76</w:t>
      </w:r>
      <w:r>
        <w:rPr>
          <w:rFonts w:hint="eastAsia" w:ascii="宋体" w:hAnsi="宋体"/>
        </w:rPr>
        <w:t>亿元、</w:t>
      </w:r>
      <w:r>
        <w:rPr>
          <w:rFonts w:hint="eastAsia" w:ascii="宋体" w:hAnsi="宋体"/>
          <w:sz w:val="30"/>
          <w:szCs w:val="30"/>
        </w:rPr>
        <w:t>安排预算稳定调节基金</w:t>
      </w:r>
      <w:r>
        <w:rPr>
          <w:rFonts w:ascii="宋体" w:hAnsi="宋体"/>
          <w:sz w:val="30"/>
          <w:szCs w:val="30"/>
        </w:rPr>
        <w:t>2.83</w:t>
      </w:r>
      <w:r>
        <w:rPr>
          <w:rFonts w:hint="eastAsia" w:ascii="宋体" w:hAnsi="宋体"/>
          <w:sz w:val="30"/>
          <w:szCs w:val="30"/>
        </w:rPr>
        <w:t>亿元、</w:t>
      </w:r>
      <w:r>
        <w:rPr>
          <w:rFonts w:hint="eastAsia" w:ascii="宋体" w:hAnsi="宋体"/>
        </w:rPr>
        <w:t>调出资金</w:t>
      </w:r>
      <w:r>
        <w:rPr>
          <w:rFonts w:ascii="宋体" w:hAnsi="宋体"/>
        </w:rPr>
        <w:t>0.38</w:t>
      </w:r>
      <w:r>
        <w:rPr>
          <w:rFonts w:hint="eastAsia" w:ascii="宋体" w:hAnsi="宋体"/>
        </w:rPr>
        <w:t>亿元、地方政府债务还本支出</w:t>
      </w:r>
      <w:r>
        <w:rPr>
          <w:rFonts w:ascii="宋体" w:hAnsi="宋体"/>
        </w:rPr>
        <w:t>3.33</w:t>
      </w:r>
      <w:r>
        <w:rPr>
          <w:rFonts w:hint="eastAsia" w:ascii="宋体" w:hAnsi="宋体"/>
        </w:rPr>
        <w:t>亿元、结转下年</w:t>
      </w:r>
      <w:r>
        <w:rPr>
          <w:rFonts w:ascii="宋体" w:hAnsi="宋体"/>
        </w:rPr>
        <w:t>1.19</w:t>
      </w:r>
      <w:r>
        <w:rPr>
          <w:rFonts w:hint="eastAsia" w:ascii="宋体" w:hAnsi="宋体"/>
        </w:rPr>
        <w:t>亿元，支出总计</w:t>
      </w:r>
      <w:r>
        <w:rPr>
          <w:rFonts w:ascii="宋体" w:hAnsi="宋体"/>
        </w:rPr>
        <w:t>141.39</w:t>
      </w:r>
      <w:r>
        <w:rPr>
          <w:rFonts w:hint="eastAsia" w:ascii="宋体" w:hAnsi="宋体"/>
        </w:rPr>
        <w:t>亿元。</w:t>
      </w:r>
    </w:p>
    <w:p>
      <w:pPr>
        <w:spacing w:line="579" w:lineRule="exact"/>
        <w:jc w:val="center"/>
        <w:rPr>
          <w:rFonts w:ascii="宋体" w:hAnsi="宋体" w:eastAsia="方正黑体_GBK"/>
        </w:rPr>
      </w:pPr>
      <w:r>
        <w:rPr>
          <w:rFonts w:ascii="宋体" w:hAnsi="宋体" w:eastAsia="方正黑体_GBK"/>
        </w:rPr>
        <w:t>2020</w:t>
      </w:r>
      <w:r>
        <w:rPr>
          <w:rFonts w:hint="eastAsia" w:ascii="宋体" w:hAnsi="宋体" w:eastAsia="方正黑体_GBK"/>
        </w:rPr>
        <w:t>年全区一般公共预算收支决算平衡表</w:t>
      </w:r>
    </w:p>
    <w:p>
      <w:pPr>
        <w:spacing w:line="579" w:lineRule="exact"/>
        <w:ind w:firstLine="7000" w:firstLineChars="2500"/>
        <w:rPr>
          <w:rFonts w:ascii="宋体" w:eastAsia="宋体"/>
          <w:sz w:val="28"/>
          <w:szCs w:val="28"/>
        </w:rPr>
      </w:pPr>
      <w:r>
        <w:rPr>
          <w:rFonts w:hint="eastAsia" w:ascii="宋体" w:hAnsi="宋体"/>
          <w:sz w:val="28"/>
          <w:szCs w:val="28"/>
        </w:rPr>
        <w:t>单位：亿元</w:t>
      </w:r>
    </w:p>
    <w:tbl>
      <w:tblPr>
        <w:tblStyle w:val="9"/>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
      <w:tblGrid>
        <w:gridCol w:w="3182"/>
        <w:gridCol w:w="1185"/>
        <w:gridCol w:w="3210"/>
        <w:gridCol w:w="114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支出</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141.39</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141.39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61.21</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一、本级支出</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126.90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90"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税收收入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42.27</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二、转移性支出</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14.49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非税收入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18.94</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上解上级支出</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6.76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80.18</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安排预算稳定调节基金</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2.83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90"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上级补助收入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54.11</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地方政府债务还本支出</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3.33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89"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调入资金</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18.85</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结转下年</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调入预算稳定调节基金</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1.14</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调出资金</w:t>
            </w: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ind w:firstLine="480" w:firstLineChars="200"/>
              <w:jc w:val="right"/>
              <w:rPr>
                <w:rFonts w:ascii="宋体" w:eastAsia="宋体"/>
                <w:kern w:val="0"/>
                <w:sz w:val="24"/>
                <w:szCs w:val="24"/>
              </w:rPr>
            </w:pPr>
            <w:r>
              <w:rPr>
                <w:rFonts w:ascii="宋体" w:hAnsi="宋体"/>
                <w:kern w:val="0"/>
                <w:sz w:val="24"/>
                <w:szCs w:val="24"/>
              </w:rPr>
              <w:t>0.38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90"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地方政府债券转贷收入</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5.78</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overflowPunct w:val="0"/>
              <w:adjustRightInd w:val="0"/>
              <w:spacing w:line="579" w:lineRule="exact"/>
              <w:jc w:val="left"/>
              <w:rPr>
                <w:rFonts w:asci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37" w:hRule="atLeast"/>
          <w:jc w:val="center"/>
        </w:trPr>
        <w:tc>
          <w:tcPr>
            <w:tcW w:w="3182"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上年结转</w:t>
            </w:r>
          </w:p>
        </w:tc>
        <w:tc>
          <w:tcPr>
            <w:tcW w:w="1185"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0.30</w:t>
            </w:r>
          </w:p>
        </w:tc>
        <w:tc>
          <w:tcPr>
            <w:tcW w:w="3210"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p>
        </w:tc>
        <w:tc>
          <w:tcPr>
            <w:tcW w:w="1146" w:type="dxa"/>
            <w:tcBorders>
              <w:top w:val="single" w:color="auto" w:sz="4" w:space="0"/>
              <w:left w:val="single" w:color="auto" w:sz="4" w:space="0"/>
              <w:bottom w:val="single" w:color="auto" w:sz="4" w:space="0"/>
            </w:tcBorders>
            <w:noWrap/>
            <w:tcMar>
              <w:left w:w="28" w:type="dxa"/>
              <w:right w:w="28" w:type="dxa"/>
            </w:tcMar>
            <w:vAlign w:val="center"/>
          </w:tcPr>
          <w:p>
            <w:pPr>
              <w:overflowPunct w:val="0"/>
              <w:adjustRightInd w:val="0"/>
              <w:spacing w:line="579" w:lineRule="exact"/>
              <w:jc w:val="left"/>
              <w:rPr>
                <w:rFonts w:ascii="宋体" w:eastAsia="宋体"/>
                <w:kern w:val="0"/>
                <w:sz w:val="24"/>
                <w:szCs w:val="24"/>
              </w:rPr>
            </w:pPr>
          </w:p>
        </w:tc>
      </w:tr>
    </w:tbl>
    <w:p>
      <w:pPr>
        <w:spacing w:line="579" w:lineRule="exact"/>
        <w:ind w:firstLine="640" w:firstLineChars="200"/>
        <w:rPr>
          <w:rFonts w:ascii="宋体" w:eastAsia="宋体"/>
        </w:rPr>
      </w:pPr>
      <w:r>
        <w:rPr>
          <w:rFonts w:ascii="宋体" w:hAnsi="宋体"/>
        </w:rPr>
        <w:t>2</w:t>
      </w:r>
      <w:r>
        <w:rPr>
          <w:rFonts w:hint="eastAsia" w:ascii="宋体" w:hAnsi="宋体"/>
        </w:rPr>
        <w:t>．政府性基金预算</w:t>
      </w:r>
    </w:p>
    <w:p>
      <w:pPr>
        <w:spacing w:line="579" w:lineRule="exact"/>
        <w:ind w:firstLine="640" w:firstLineChars="200"/>
        <w:rPr>
          <w:rFonts w:ascii="宋体" w:eastAsia="宋体"/>
        </w:rPr>
      </w:pPr>
      <w:r>
        <w:rPr>
          <w:rFonts w:ascii="宋体" w:hAnsi="宋体"/>
        </w:rPr>
        <w:t>——</w:t>
      </w:r>
      <w:r>
        <w:rPr>
          <w:rFonts w:hint="eastAsia" w:ascii="宋体" w:hAnsi="宋体"/>
        </w:rPr>
        <w:t>全区政府性基金预算收入</w:t>
      </w:r>
      <w:r>
        <w:rPr>
          <w:rFonts w:ascii="宋体" w:hAnsi="宋体"/>
        </w:rPr>
        <w:t>74.27</w:t>
      </w:r>
      <w:r>
        <w:rPr>
          <w:rFonts w:hint="eastAsia" w:ascii="宋体" w:hAnsi="宋体"/>
        </w:rPr>
        <w:t>亿元，下降</w:t>
      </w:r>
      <w:r>
        <w:rPr>
          <w:rFonts w:ascii="宋体" w:hAnsi="宋体"/>
        </w:rPr>
        <w:t>0.9%</w:t>
      </w:r>
      <w:r>
        <w:rPr>
          <w:rFonts w:hint="eastAsia" w:ascii="宋体" w:hAnsi="宋体"/>
        </w:rPr>
        <w:t>，为预算的</w:t>
      </w:r>
      <w:r>
        <w:rPr>
          <w:rFonts w:ascii="宋体" w:hAnsi="宋体"/>
        </w:rPr>
        <w:t>100.4%</w:t>
      </w:r>
      <w:r>
        <w:rPr>
          <w:rFonts w:hint="eastAsia" w:ascii="宋体" w:hAnsi="宋体"/>
        </w:rPr>
        <w:t>。加上上级补助收入</w:t>
      </w:r>
      <w:r>
        <w:rPr>
          <w:rFonts w:ascii="宋体" w:hAnsi="宋体"/>
        </w:rPr>
        <w:t>6.63</w:t>
      </w:r>
      <w:r>
        <w:rPr>
          <w:rFonts w:hint="eastAsia" w:ascii="宋体" w:hAnsi="宋体"/>
        </w:rPr>
        <w:t>亿元、调入资金</w:t>
      </w:r>
      <w:r>
        <w:rPr>
          <w:rFonts w:ascii="宋体" w:hAnsi="宋体"/>
        </w:rPr>
        <w:t>0.38</w:t>
      </w:r>
      <w:r>
        <w:rPr>
          <w:rFonts w:hint="eastAsia" w:ascii="宋体" w:hAnsi="宋体"/>
        </w:rPr>
        <w:t>亿元、地方政府债券转贷收入</w:t>
      </w:r>
      <w:r>
        <w:rPr>
          <w:rFonts w:ascii="宋体" w:hAnsi="宋体"/>
        </w:rPr>
        <w:t>36.43</w:t>
      </w:r>
      <w:r>
        <w:rPr>
          <w:rFonts w:hint="eastAsia" w:ascii="宋体" w:hAnsi="宋体"/>
        </w:rPr>
        <w:t>亿元、上年结余</w:t>
      </w:r>
      <w:r>
        <w:rPr>
          <w:rFonts w:ascii="宋体" w:hAnsi="宋体"/>
        </w:rPr>
        <w:t>1.61</w:t>
      </w:r>
      <w:r>
        <w:rPr>
          <w:rFonts w:hint="eastAsia" w:ascii="宋体" w:hAnsi="宋体"/>
        </w:rPr>
        <w:t>亿元，收入总计</w:t>
      </w:r>
      <w:r>
        <w:rPr>
          <w:rFonts w:ascii="宋体" w:hAnsi="宋体"/>
        </w:rPr>
        <w:t>119.32</w:t>
      </w:r>
      <w:r>
        <w:rPr>
          <w:rFonts w:hint="eastAsia" w:ascii="宋体" w:hAnsi="宋体"/>
        </w:rPr>
        <w:t>亿元。</w:t>
      </w:r>
    </w:p>
    <w:p>
      <w:pPr>
        <w:spacing w:line="579" w:lineRule="exact"/>
        <w:ind w:firstLine="640" w:firstLineChars="200"/>
        <w:rPr>
          <w:rFonts w:ascii="宋体" w:eastAsia="宋体"/>
          <w:color w:val="0000FF"/>
        </w:rPr>
      </w:pPr>
      <w:r>
        <w:rPr>
          <w:rFonts w:ascii="宋体" w:hAnsi="宋体"/>
        </w:rPr>
        <w:t>——</w:t>
      </w:r>
      <w:r>
        <w:rPr>
          <w:rFonts w:hint="eastAsia" w:ascii="宋体" w:hAnsi="宋体"/>
        </w:rPr>
        <w:t>全区政府性基金预算支出</w:t>
      </w:r>
      <w:r>
        <w:rPr>
          <w:rFonts w:ascii="宋体" w:hAnsi="宋体"/>
        </w:rPr>
        <w:t>85.13</w:t>
      </w:r>
      <w:r>
        <w:rPr>
          <w:rFonts w:hint="eastAsia" w:ascii="宋体" w:hAnsi="宋体"/>
        </w:rPr>
        <w:t>亿元，增长</w:t>
      </w:r>
      <w:r>
        <w:rPr>
          <w:rFonts w:ascii="宋体" w:hAnsi="宋体"/>
        </w:rPr>
        <w:t>23.0%</w:t>
      </w:r>
      <w:r>
        <w:rPr>
          <w:rFonts w:hint="eastAsia" w:ascii="宋体" w:hAnsi="宋体"/>
        </w:rPr>
        <w:t>，为预算的</w:t>
      </w:r>
      <w:r>
        <w:rPr>
          <w:rFonts w:ascii="宋体" w:hAnsi="宋体"/>
        </w:rPr>
        <w:t>96.3%</w:t>
      </w:r>
      <w:r>
        <w:rPr>
          <w:rFonts w:hint="eastAsia" w:ascii="宋体" w:hAnsi="宋体"/>
        </w:rPr>
        <w:t>。加上上解上级支出</w:t>
      </w:r>
      <w:r>
        <w:rPr>
          <w:rFonts w:ascii="宋体" w:hAnsi="宋体"/>
        </w:rPr>
        <w:t>2.36</w:t>
      </w:r>
      <w:r>
        <w:rPr>
          <w:rFonts w:hint="eastAsia" w:ascii="宋体" w:hAnsi="宋体"/>
        </w:rPr>
        <w:t>亿元、地方政府债务还本支出</w:t>
      </w:r>
      <w:r>
        <w:rPr>
          <w:rFonts w:ascii="宋体" w:hAnsi="宋体"/>
        </w:rPr>
        <w:t>9.93</w:t>
      </w:r>
      <w:r>
        <w:rPr>
          <w:rFonts w:hint="eastAsia" w:ascii="宋体" w:hAnsi="宋体"/>
        </w:rPr>
        <w:t>亿元、调出资金</w:t>
      </w:r>
      <w:r>
        <w:rPr>
          <w:rFonts w:ascii="宋体" w:hAnsi="宋体"/>
        </w:rPr>
        <w:t>18.39</w:t>
      </w:r>
      <w:r>
        <w:rPr>
          <w:rFonts w:hint="eastAsia" w:ascii="宋体" w:hAnsi="宋体"/>
        </w:rPr>
        <w:t>亿元、结转下年</w:t>
      </w:r>
      <w:r>
        <w:rPr>
          <w:rFonts w:ascii="宋体" w:hAnsi="宋体"/>
        </w:rPr>
        <w:t>3.51</w:t>
      </w:r>
      <w:r>
        <w:rPr>
          <w:rFonts w:hint="eastAsia" w:ascii="宋体" w:hAnsi="宋体"/>
        </w:rPr>
        <w:t>亿元，支出总计</w:t>
      </w:r>
      <w:r>
        <w:rPr>
          <w:rFonts w:ascii="宋体" w:hAnsi="宋体"/>
        </w:rPr>
        <w:t>119.32</w:t>
      </w:r>
      <w:r>
        <w:rPr>
          <w:rFonts w:hint="eastAsia" w:ascii="宋体" w:hAnsi="宋体"/>
        </w:rPr>
        <w:t>亿元。</w:t>
      </w:r>
    </w:p>
    <w:p>
      <w:pPr>
        <w:spacing w:line="579" w:lineRule="exact"/>
        <w:jc w:val="center"/>
        <w:rPr>
          <w:rFonts w:ascii="宋体" w:hAnsi="宋体" w:eastAsia="方正黑体_GBK"/>
        </w:rPr>
      </w:pPr>
      <w:r>
        <w:rPr>
          <w:rFonts w:ascii="宋体" w:hAnsi="宋体" w:eastAsia="方正黑体_GBK"/>
        </w:rPr>
        <w:t>2020</w:t>
      </w:r>
      <w:r>
        <w:rPr>
          <w:rFonts w:hint="eastAsia" w:ascii="宋体" w:hAnsi="宋体" w:eastAsia="方正黑体_GBK"/>
        </w:rPr>
        <w:t>年全区政府性基金预算收支决算平衡表</w:t>
      </w:r>
    </w:p>
    <w:p>
      <w:pPr>
        <w:spacing w:line="579" w:lineRule="exact"/>
        <w:ind w:firstLine="7000" w:firstLineChars="2500"/>
        <w:rPr>
          <w:rFonts w:ascii="宋体" w:eastAsia="宋体"/>
          <w:sz w:val="28"/>
          <w:szCs w:val="28"/>
        </w:rPr>
      </w:pPr>
      <w:r>
        <w:rPr>
          <w:rFonts w:hint="eastAsia" w:ascii="宋体" w:hAnsi="宋体"/>
          <w:sz w:val="28"/>
          <w:szCs w:val="28"/>
        </w:rPr>
        <w:t>单位：亿元</w:t>
      </w:r>
    </w:p>
    <w:tbl>
      <w:tblPr>
        <w:tblStyle w:val="9"/>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
      <w:tblGrid>
        <w:gridCol w:w="3189"/>
        <w:gridCol w:w="1332"/>
        <w:gridCol w:w="3133"/>
        <w:gridCol w:w="115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903"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收入</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支出</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691"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119.32</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119.32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637"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一、本级收入</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74.27</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一、本级支出</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85.13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665"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二、转移性收入</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45.05</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二、转移性支出</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34.19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668"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上级补助收入</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6.63</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上解上级支出</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2.36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651"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地方政府债券转贷收入</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36.43</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调出资金</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18.39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705"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上年结转</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1.61</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地方政府债务还本支出</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9.93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824" w:hRule="atLeast"/>
          <w:jc w:val="center"/>
        </w:trPr>
        <w:tc>
          <w:tcPr>
            <w:tcW w:w="31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调入资金</w:t>
            </w:r>
          </w:p>
        </w:tc>
        <w:tc>
          <w:tcPr>
            <w:tcW w:w="133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ind w:firstLine="720" w:firstLineChars="300"/>
              <w:jc w:val="left"/>
              <w:rPr>
                <w:rFonts w:ascii="宋体" w:eastAsia="宋体"/>
                <w:kern w:val="0"/>
                <w:sz w:val="24"/>
                <w:szCs w:val="24"/>
              </w:rPr>
            </w:pPr>
            <w:r>
              <w:rPr>
                <w:rFonts w:ascii="宋体" w:hAnsi="宋体"/>
                <w:kern w:val="0"/>
                <w:sz w:val="24"/>
                <w:szCs w:val="24"/>
              </w:rPr>
              <w:t>0.38</w:t>
            </w:r>
          </w:p>
        </w:tc>
        <w:tc>
          <w:tcPr>
            <w:tcW w:w="313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结转下年</w:t>
            </w:r>
          </w:p>
        </w:tc>
        <w:tc>
          <w:tcPr>
            <w:tcW w:w="1157"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3.51</w:t>
            </w:r>
          </w:p>
        </w:tc>
      </w:tr>
    </w:tbl>
    <w:p>
      <w:pPr>
        <w:numPr>
          <w:ilvl w:val="0"/>
          <w:numId w:val="1"/>
        </w:numPr>
        <w:spacing w:line="579" w:lineRule="exact"/>
        <w:ind w:firstLine="640" w:firstLineChars="200"/>
        <w:rPr>
          <w:rFonts w:ascii="宋体" w:eastAsia="宋体"/>
        </w:rPr>
      </w:pPr>
      <w:r>
        <w:rPr>
          <w:rFonts w:hint="eastAsia" w:ascii="宋体" w:hAnsi="宋体"/>
        </w:rPr>
        <w:t>国有资本经营预算</w:t>
      </w:r>
    </w:p>
    <w:p>
      <w:pPr>
        <w:spacing w:line="579" w:lineRule="exact"/>
        <w:ind w:firstLine="640" w:firstLineChars="200"/>
        <w:rPr>
          <w:rFonts w:ascii="宋体" w:eastAsia="宋体"/>
        </w:rPr>
      </w:pPr>
      <w:r>
        <w:rPr>
          <w:rFonts w:ascii="宋体" w:hAnsi="宋体"/>
        </w:rPr>
        <w:t>——</w:t>
      </w:r>
      <w:r>
        <w:rPr>
          <w:rFonts w:hint="eastAsia" w:ascii="宋体" w:hAnsi="宋体"/>
        </w:rPr>
        <w:t>全区国有资本经营预算收入</w:t>
      </w:r>
      <w:r>
        <w:rPr>
          <w:rFonts w:ascii="宋体" w:hAnsi="宋体"/>
        </w:rPr>
        <w:t>0.42</w:t>
      </w:r>
      <w:r>
        <w:rPr>
          <w:rFonts w:hint="eastAsia" w:ascii="宋体" w:hAnsi="宋体"/>
        </w:rPr>
        <w:t>亿元，下降</w:t>
      </w:r>
      <w:r>
        <w:rPr>
          <w:rFonts w:ascii="宋体" w:hAnsi="宋体"/>
        </w:rPr>
        <w:t>40.3%</w:t>
      </w:r>
      <w:r>
        <w:rPr>
          <w:rFonts w:hint="eastAsia" w:ascii="宋体" w:hAnsi="宋体"/>
        </w:rPr>
        <w:t>，为预算的</w:t>
      </w:r>
      <w:r>
        <w:rPr>
          <w:rFonts w:ascii="宋体" w:hAnsi="宋体"/>
        </w:rPr>
        <w:t>100%</w:t>
      </w:r>
      <w:r>
        <w:rPr>
          <w:rFonts w:hint="eastAsia" w:ascii="宋体" w:hAnsi="宋体"/>
        </w:rPr>
        <w:t>，</w:t>
      </w:r>
      <w:r>
        <w:rPr>
          <w:rFonts w:hint="eastAsia" w:ascii="宋体" w:hAnsi="宋体"/>
          <w:szCs w:val="32"/>
        </w:rPr>
        <w:t>加上上年结转</w:t>
      </w:r>
      <w:r>
        <w:rPr>
          <w:rFonts w:ascii="宋体" w:hAnsi="宋体"/>
          <w:szCs w:val="32"/>
        </w:rPr>
        <w:t>0.10</w:t>
      </w:r>
      <w:r>
        <w:rPr>
          <w:rFonts w:hint="eastAsia" w:ascii="宋体" w:hAnsi="宋体"/>
          <w:szCs w:val="32"/>
        </w:rPr>
        <w:t>亿元，收入总计</w:t>
      </w:r>
      <w:r>
        <w:rPr>
          <w:rFonts w:ascii="宋体" w:hAnsi="宋体"/>
          <w:szCs w:val="32"/>
        </w:rPr>
        <w:t>0.52</w:t>
      </w:r>
      <w:r>
        <w:rPr>
          <w:rFonts w:hint="eastAsia" w:ascii="宋体" w:hAnsi="宋体"/>
          <w:szCs w:val="32"/>
        </w:rPr>
        <w:t>亿元</w:t>
      </w:r>
      <w:r>
        <w:rPr>
          <w:rFonts w:hint="eastAsia" w:ascii="宋体" w:hAnsi="宋体"/>
        </w:rPr>
        <w:t>。</w:t>
      </w:r>
    </w:p>
    <w:p>
      <w:pPr>
        <w:spacing w:line="579" w:lineRule="exact"/>
        <w:ind w:firstLine="640" w:firstLineChars="200"/>
        <w:rPr>
          <w:rFonts w:ascii="宋体" w:eastAsia="宋体"/>
        </w:rPr>
      </w:pPr>
      <w:r>
        <w:rPr>
          <w:rFonts w:ascii="宋体" w:hAnsi="宋体"/>
        </w:rPr>
        <w:t>——</w:t>
      </w:r>
      <w:r>
        <w:rPr>
          <w:rFonts w:hint="eastAsia" w:ascii="宋体" w:hAnsi="宋体"/>
        </w:rPr>
        <w:t>全区国有资本经营预算支出</w:t>
      </w:r>
      <w:r>
        <w:rPr>
          <w:rFonts w:ascii="宋体" w:hAnsi="宋体"/>
        </w:rPr>
        <w:t>0.06</w:t>
      </w:r>
      <w:r>
        <w:rPr>
          <w:rFonts w:hint="eastAsia" w:ascii="宋体" w:hAnsi="宋体"/>
        </w:rPr>
        <w:t>亿元，下降</w:t>
      </w:r>
      <w:r>
        <w:rPr>
          <w:rFonts w:ascii="宋体" w:hAnsi="宋体"/>
        </w:rPr>
        <w:t>43.8%</w:t>
      </w:r>
      <w:r>
        <w:rPr>
          <w:rFonts w:hint="eastAsia" w:ascii="宋体" w:hAnsi="宋体"/>
        </w:rPr>
        <w:t>，为预算的</w:t>
      </w:r>
      <w:r>
        <w:rPr>
          <w:rFonts w:ascii="宋体" w:hAnsi="宋体"/>
        </w:rPr>
        <w:t>100</w:t>
      </w:r>
      <w:r>
        <w:rPr>
          <w:rFonts w:ascii="宋体" w:eastAsia="宋体"/>
        </w:rPr>
        <w:t>.0</w:t>
      </w:r>
      <w:r>
        <w:rPr>
          <w:rFonts w:ascii="宋体" w:hAnsi="宋体"/>
        </w:rPr>
        <w:t>%</w:t>
      </w:r>
      <w:r>
        <w:rPr>
          <w:rFonts w:hint="eastAsia" w:ascii="宋体" w:hAnsi="宋体"/>
        </w:rPr>
        <w:t>，</w:t>
      </w:r>
      <w:r>
        <w:rPr>
          <w:rFonts w:hint="eastAsia" w:ascii="宋体" w:hAnsi="宋体"/>
          <w:szCs w:val="32"/>
        </w:rPr>
        <w:t>加上调出资金</w:t>
      </w:r>
      <w:r>
        <w:rPr>
          <w:rFonts w:ascii="宋体" w:hAnsi="宋体"/>
          <w:szCs w:val="32"/>
        </w:rPr>
        <w:t>0.46</w:t>
      </w:r>
      <w:r>
        <w:rPr>
          <w:rFonts w:hint="eastAsia" w:ascii="宋体" w:hAnsi="宋体"/>
          <w:szCs w:val="32"/>
        </w:rPr>
        <w:t>亿元，</w:t>
      </w:r>
      <w:r>
        <w:rPr>
          <w:rFonts w:hint="eastAsia" w:ascii="宋体" w:hAnsi="宋体"/>
        </w:rPr>
        <w:t>支出总计</w:t>
      </w:r>
      <w:r>
        <w:rPr>
          <w:rFonts w:ascii="宋体" w:hAnsi="宋体"/>
        </w:rPr>
        <w:t>0.52</w:t>
      </w:r>
      <w:r>
        <w:rPr>
          <w:rFonts w:hint="eastAsia" w:ascii="宋体" w:hAnsi="宋体"/>
        </w:rPr>
        <w:t>亿元。</w:t>
      </w:r>
    </w:p>
    <w:p>
      <w:pPr>
        <w:spacing w:line="579" w:lineRule="exact"/>
        <w:jc w:val="center"/>
        <w:rPr>
          <w:rFonts w:ascii="宋体" w:hAnsi="宋体" w:eastAsia="方正黑体_GBK"/>
        </w:rPr>
      </w:pPr>
      <w:r>
        <w:rPr>
          <w:rFonts w:ascii="宋体" w:hAnsi="宋体" w:eastAsia="方正黑体_GBK"/>
        </w:rPr>
        <w:t>2020</w:t>
      </w:r>
      <w:r>
        <w:rPr>
          <w:rFonts w:hint="eastAsia" w:ascii="宋体" w:hAnsi="宋体" w:eastAsia="方正黑体_GBK"/>
        </w:rPr>
        <w:t>年全区国有资本经营预算收支决算平衡表</w:t>
      </w:r>
    </w:p>
    <w:p>
      <w:pPr>
        <w:spacing w:line="579" w:lineRule="exact"/>
        <w:ind w:firstLine="7140" w:firstLineChars="2550"/>
        <w:rPr>
          <w:rFonts w:ascii="宋体" w:eastAsia="宋体"/>
          <w:sz w:val="28"/>
          <w:szCs w:val="28"/>
        </w:rPr>
      </w:pPr>
      <w:r>
        <w:rPr>
          <w:rFonts w:hint="eastAsia" w:ascii="宋体" w:hAnsi="宋体"/>
          <w:sz w:val="28"/>
          <w:szCs w:val="28"/>
        </w:rPr>
        <w:t>单位：亿元</w:t>
      </w:r>
    </w:p>
    <w:tbl>
      <w:tblPr>
        <w:tblStyle w:val="9"/>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
      <w:tblGrid>
        <w:gridCol w:w="2889"/>
        <w:gridCol w:w="1398"/>
        <w:gridCol w:w="3071"/>
        <w:gridCol w:w="154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jc w:val="center"/>
        </w:trPr>
        <w:tc>
          <w:tcPr>
            <w:tcW w:w="28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收入</w:t>
            </w:r>
          </w:p>
        </w:tc>
        <w:tc>
          <w:tcPr>
            <w:tcW w:w="139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c>
          <w:tcPr>
            <w:tcW w:w="3071"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支出</w:t>
            </w:r>
          </w:p>
        </w:tc>
        <w:tc>
          <w:tcPr>
            <w:tcW w:w="1543" w:type="dxa"/>
            <w:tcBorders>
              <w:top w:val="single" w:color="auto" w:sz="4" w:space="0"/>
              <w:left w:val="single" w:color="auto" w:sz="4" w:space="0"/>
              <w:bottom w:val="single" w:color="auto" w:sz="4" w:space="0"/>
            </w:tcBorders>
            <w:noWrap/>
            <w:tcMar>
              <w:left w:w="28" w:type="dxa"/>
              <w:right w:w="28" w:type="dxa"/>
            </w:tcMar>
            <w:vAlign w:val="center"/>
          </w:tcPr>
          <w:p>
            <w:pPr>
              <w:overflowPunct w:val="0"/>
              <w:adjustRightInd w:val="0"/>
              <w:spacing w:line="579" w:lineRule="exact"/>
              <w:jc w:val="center"/>
              <w:rPr>
                <w:rFonts w:ascii="宋体" w:hAnsi="宋体" w:eastAsia="方正黑体_GBK"/>
                <w:sz w:val="24"/>
                <w:szCs w:val="24"/>
              </w:rPr>
            </w:pPr>
            <w:r>
              <w:rPr>
                <w:rFonts w:hint="eastAsia" w:ascii="宋体" w:hAnsi="宋体" w:eastAsia="方正黑体_GBK"/>
                <w:sz w:val="24"/>
                <w:szCs w:val="24"/>
              </w:rPr>
              <w:t>决算数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26" w:hRule="atLeast"/>
          <w:jc w:val="center"/>
        </w:trPr>
        <w:tc>
          <w:tcPr>
            <w:tcW w:w="28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39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0.52</w:t>
            </w:r>
          </w:p>
        </w:tc>
        <w:tc>
          <w:tcPr>
            <w:tcW w:w="3071"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总计</w:t>
            </w:r>
          </w:p>
        </w:tc>
        <w:tc>
          <w:tcPr>
            <w:tcW w:w="1543"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0.52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jc w:val="center"/>
        </w:trPr>
        <w:tc>
          <w:tcPr>
            <w:tcW w:w="28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一、本级收入</w:t>
            </w:r>
          </w:p>
        </w:tc>
        <w:tc>
          <w:tcPr>
            <w:tcW w:w="139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0.42</w:t>
            </w:r>
          </w:p>
        </w:tc>
        <w:tc>
          <w:tcPr>
            <w:tcW w:w="3071"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一、本级支出</w:t>
            </w:r>
          </w:p>
        </w:tc>
        <w:tc>
          <w:tcPr>
            <w:tcW w:w="1543"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0.06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jc w:val="center"/>
        </w:trPr>
        <w:tc>
          <w:tcPr>
            <w:tcW w:w="28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二、转移性收入</w:t>
            </w:r>
          </w:p>
        </w:tc>
        <w:tc>
          <w:tcPr>
            <w:tcW w:w="139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0.10</w:t>
            </w:r>
          </w:p>
        </w:tc>
        <w:tc>
          <w:tcPr>
            <w:tcW w:w="3071"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二、转移性支出</w:t>
            </w:r>
          </w:p>
        </w:tc>
        <w:tc>
          <w:tcPr>
            <w:tcW w:w="1543"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57" w:type="dxa"/>
            <w:bottom w:w="0" w:type="dxa"/>
            <w:right w:w="57" w:type="dxa"/>
          </w:tblCellMar>
        </w:tblPrEx>
        <w:trPr>
          <w:trHeight w:val="445" w:hRule="atLeast"/>
          <w:jc w:val="center"/>
        </w:trPr>
        <w:tc>
          <w:tcPr>
            <w:tcW w:w="2889" w:type="dxa"/>
            <w:tcBorders>
              <w:top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上年结转</w:t>
            </w:r>
          </w:p>
        </w:tc>
        <w:tc>
          <w:tcPr>
            <w:tcW w:w="139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0.10</w:t>
            </w:r>
          </w:p>
        </w:tc>
        <w:tc>
          <w:tcPr>
            <w:tcW w:w="3071"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overflowPunct w:val="0"/>
              <w:adjustRightInd w:val="0"/>
              <w:spacing w:line="579" w:lineRule="exact"/>
              <w:jc w:val="left"/>
              <w:rPr>
                <w:rFonts w:ascii="宋体" w:eastAsia="宋体"/>
                <w:sz w:val="24"/>
                <w:szCs w:val="24"/>
              </w:rPr>
            </w:pPr>
            <w:r>
              <w:rPr>
                <w:rFonts w:hint="eastAsia" w:ascii="宋体" w:hAnsi="宋体"/>
                <w:sz w:val="24"/>
                <w:szCs w:val="24"/>
              </w:rPr>
              <w:t>调出资金</w:t>
            </w:r>
          </w:p>
        </w:tc>
        <w:tc>
          <w:tcPr>
            <w:tcW w:w="1543" w:type="dxa"/>
            <w:tcBorders>
              <w:top w:val="single" w:color="auto" w:sz="4" w:space="0"/>
              <w:left w:val="single" w:color="auto" w:sz="4" w:space="0"/>
              <w:bottom w:val="single" w:color="auto" w:sz="4" w:space="0"/>
            </w:tcBorders>
            <w:noWrap/>
            <w:tcMar>
              <w:left w:w="28" w:type="dxa"/>
              <w:right w:w="28" w:type="dxa"/>
            </w:tcMar>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0.46</w:t>
            </w:r>
          </w:p>
        </w:tc>
      </w:tr>
    </w:tbl>
    <w:p>
      <w:pPr>
        <w:spacing w:line="579" w:lineRule="exact"/>
        <w:ind w:firstLine="640" w:firstLineChars="200"/>
        <w:rPr>
          <w:rFonts w:ascii="宋体" w:hAnsi="宋体" w:eastAsia="方正楷体_GBK"/>
        </w:rPr>
      </w:pPr>
      <w:r>
        <w:rPr>
          <w:rFonts w:hint="eastAsia" w:ascii="宋体" w:hAnsi="宋体" w:eastAsia="方正楷体_GBK"/>
        </w:rPr>
        <w:t>（二）区级财政收支决算情况</w:t>
      </w:r>
    </w:p>
    <w:p>
      <w:pPr>
        <w:spacing w:line="579" w:lineRule="exact"/>
        <w:ind w:firstLine="640" w:firstLineChars="200"/>
        <w:rPr>
          <w:rFonts w:ascii="宋体" w:eastAsia="宋体"/>
        </w:rPr>
      </w:pPr>
      <w:r>
        <w:rPr>
          <w:rFonts w:ascii="宋体" w:hAnsi="宋体"/>
        </w:rPr>
        <w:t>1</w:t>
      </w:r>
      <w:r>
        <w:rPr>
          <w:rFonts w:hint="eastAsia" w:ascii="宋体" w:hAnsi="宋体"/>
        </w:rPr>
        <w:t>．一般公共预算</w:t>
      </w:r>
    </w:p>
    <w:p>
      <w:pPr>
        <w:spacing w:line="579" w:lineRule="exact"/>
        <w:ind w:firstLine="640" w:firstLineChars="200"/>
        <w:rPr>
          <w:rFonts w:ascii="宋体" w:eastAsia="宋体"/>
        </w:rPr>
      </w:pPr>
      <w:r>
        <w:rPr>
          <w:rFonts w:hint="eastAsia" w:ascii="宋体" w:hAnsi="宋体"/>
        </w:rPr>
        <w:t>区级一般公共预算收入</w:t>
      </w:r>
      <w:r>
        <w:rPr>
          <w:rFonts w:ascii="宋体" w:hAnsi="宋体"/>
        </w:rPr>
        <w:t>60.31</w:t>
      </w:r>
      <w:r>
        <w:rPr>
          <w:rFonts w:hint="eastAsia" w:ascii="宋体" w:hAnsi="宋体"/>
        </w:rPr>
        <w:t>亿元，下降</w:t>
      </w:r>
      <w:r>
        <w:rPr>
          <w:rFonts w:ascii="宋体" w:hAnsi="宋体"/>
        </w:rPr>
        <w:t>6.4%</w:t>
      </w:r>
      <w:r>
        <w:rPr>
          <w:rFonts w:hint="eastAsia" w:ascii="宋体" w:hAnsi="宋体"/>
        </w:rPr>
        <w:t>，为预算的</w:t>
      </w:r>
      <w:r>
        <w:rPr>
          <w:rFonts w:ascii="宋体" w:hAnsi="宋体"/>
        </w:rPr>
        <w:t>100.3%</w:t>
      </w:r>
      <w:r>
        <w:rPr>
          <w:rFonts w:hint="eastAsia" w:ascii="宋体" w:hAnsi="宋体"/>
        </w:rPr>
        <w:t>。加上上级补助、调入资金、调入预算稳定调节基金、地方政府债券转贷收入等，收入总计</w:t>
      </w:r>
      <w:r>
        <w:rPr>
          <w:rFonts w:ascii="宋体" w:hAnsi="宋体"/>
        </w:rPr>
        <w:t>140.50</w:t>
      </w:r>
      <w:r>
        <w:rPr>
          <w:rFonts w:hint="eastAsia" w:ascii="宋体" w:hAnsi="宋体"/>
        </w:rPr>
        <w:t>亿元。区级一般公共预算支出</w:t>
      </w:r>
      <w:r>
        <w:rPr>
          <w:rFonts w:ascii="宋体" w:hAnsi="宋体"/>
        </w:rPr>
        <w:t>117.66</w:t>
      </w:r>
      <w:r>
        <w:rPr>
          <w:rFonts w:hint="eastAsia" w:ascii="宋体" w:hAnsi="宋体"/>
        </w:rPr>
        <w:t>亿元，下降</w:t>
      </w:r>
      <w:r>
        <w:rPr>
          <w:rFonts w:ascii="宋体" w:hAnsi="宋体"/>
        </w:rPr>
        <w:t>7.2%</w:t>
      </w:r>
      <w:r>
        <w:rPr>
          <w:rFonts w:hint="eastAsia" w:ascii="宋体" w:hAnsi="宋体"/>
        </w:rPr>
        <w:t>，为预算的</w:t>
      </w:r>
      <w:r>
        <w:rPr>
          <w:rFonts w:ascii="宋体" w:hAnsi="宋体"/>
        </w:rPr>
        <w:t>97.1%</w:t>
      </w:r>
      <w:r>
        <w:rPr>
          <w:rFonts w:hint="eastAsia" w:ascii="宋体" w:hAnsi="宋体"/>
        </w:rPr>
        <w:t>。加上上解市级、地方政府债务还本、安排预算稳定调节基金、结转下年等，支出总计</w:t>
      </w:r>
      <w:r>
        <w:rPr>
          <w:rFonts w:ascii="宋体" w:hAnsi="宋体"/>
        </w:rPr>
        <w:t>140.50</w:t>
      </w:r>
      <w:r>
        <w:rPr>
          <w:rFonts w:hint="eastAsia" w:ascii="宋体" w:hAnsi="宋体"/>
        </w:rPr>
        <w:t>亿元。</w:t>
      </w:r>
    </w:p>
    <w:p>
      <w:pPr>
        <w:spacing w:line="579" w:lineRule="exact"/>
        <w:ind w:firstLine="640" w:firstLineChars="200"/>
        <w:rPr>
          <w:rFonts w:ascii="宋体" w:hAnsi="宋体" w:eastAsia="方正黑体_GBK"/>
        </w:rPr>
      </w:pPr>
      <w:r>
        <w:rPr>
          <w:rFonts w:hint="eastAsia" w:ascii="宋体" w:hAnsi="宋体"/>
        </w:rPr>
        <w:t>与</w:t>
      </w:r>
      <w:r>
        <w:rPr>
          <w:rFonts w:ascii="宋体" w:hAnsi="宋体"/>
        </w:rPr>
        <w:t>2020</w:t>
      </w:r>
      <w:r>
        <w:rPr>
          <w:rFonts w:hint="eastAsia" w:ascii="宋体" w:hAnsi="宋体"/>
        </w:rPr>
        <w:t>年调整预算数相比，区级一般公共预算收入决算数总计增加</w:t>
      </w:r>
      <w:r>
        <w:rPr>
          <w:rFonts w:ascii="宋体" w:hAnsi="宋体"/>
        </w:rPr>
        <w:t>0.49</w:t>
      </w:r>
      <w:r>
        <w:rPr>
          <w:rFonts w:hint="eastAsia" w:ascii="宋体" w:hAnsi="宋体"/>
        </w:rPr>
        <w:t>亿元，其中：本级一般公共预算收入超收</w:t>
      </w:r>
      <w:r>
        <w:rPr>
          <w:rFonts w:ascii="宋体" w:hAnsi="宋体"/>
        </w:rPr>
        <w:t>0.21</w:t>
      </w:r>
      <w:r>
        <w:rPr>
          <w:rFonts w:hint="eastAsia" w:ascii="宋体" w:hAnsi="宋体"/>
        </w:rPr>
        <w:t>亿元；调入资金增加</w:t>
      </w:r>
      <w:r>
        <w:rPr>
          <w:rFonts w:ascii="宋体" w:hAnsi="宋体"/>
        </w:rPr>
        <w:t>0.4</w:t>
      </w:r>
      <w:r>
        <w:rPr>
          <w:rFonts w:hint="eastAsia" w:ascii="宋体" w:hAnsi="宋体"/>
        </w:rPr>
        <w:t>亿元；上级补助收入减少</w:t>
      </w:r>
      <w:r>
        <w:rPr>
          <w:rFonts w:ascii="宋体" w:hAnsi="宋体"/>
        </w:rPr>
        <w:t>0.12</w:t>
      </w:r>
      <w:r>
        <w:rPr>
          <w:rFonts w:hint="eastAsia" w:ascii="宋体" w:hAnsi="宋体"/>
        </w:rPr>
        <w:t>亿元。支出决算数总计增加</w:t>
      </w:r>
      <w:r>
        <w:rPr>
          <w:rFonts w:ascii="宋体" w:hAnsi="宋体"/>
        </w:rPr>
        <w:t>0.49</w:t>
      </w:r>
      <w:r>
        <w:rPr>
          <w:rFonts w:hint="eastAsia" w:ascii="宋体" w:hAnsi="宋体"/>
        </w:rPr>
        <w:t>亿元，其中：本级支出减少</w:t>
      </w:r>
      <w:r>
        <w:rPr>
          <w:rFonts w:ascii="宋体" w:hAnsi="宋体"/>
        </w:rPr>
        <w:t>0.49</w:t>
      </w:r>
      <w:r>
        <w:rPr>
          <w:rFonts w:hint="eastAsia" w:ascii="宋体" w:hAnsi="宋体"/>
        </w:rPr>
        <w:t>亿元；结算补助镇级减少</w:t>
      </w:r>
      <w:r>
        <w:rPr>
          <w:rFonts w:ascii="宋体" w:hAnsi="宋体"/>
        </w:rPr>
        <w:t>0.18</w:t>
      </w:r>
      <w:r>
        <w:rPr>
          <w:rFonts w:hint="eastAsia" w:ascii="宋体" w:hAnsi="宋体"/>
        </w:rPr>
        <w:t>亿元；结算上解市级支出减少</w:t>
      </w:r>
      <w:r>
        <w:rPr>
          <w:rFonts w:ascii="宋体" w:hAnsi="宋体"/>
        </w:rPr>
        <w:t>0.24</w:t>
      </w:r>
      <w:r>
        <w:rPr>
          <w:rFonts w:hint="eastAsia" w:ascii="宋体" w:hAnsi="宋体"/>
        </w:rPr>
        <w:t>亿元；安排预算稳定调节基金增加</w:t>
      </w:r>
      <w:r>
        <w:rPr>
          <w:rFonts w:ascii="宋体" w:hAnsi="宋体"/>
        </w:rPr>
        <w:t>2.83</w:t>
      </w:r>
      <w:r>
        <w:rPr>
          <w:rFonts w:hint="eastAsia" w:ascii="宋体" w:hAnsi="宋体"/>
        </w:rPr>
        <w:t>亿元；调出资金增加</w:t>
      </w:r>
      <w:r>
        <w:rPr>
          <w:rFonts w:ascii="宋体" w:hAnsi="宋体"/>
        </w:rPr>
        <w:t>0.38</w:t>
      </w:r>
      <w:r>
        <w:rPr>
          <w:rFonts w:hint="eastAsia" w:ascii="宋体" w:hAnsi="宋体"/>
        </w:rPr>
        <w:t>元；结转下年增加</w:t>
      </w:r>
      <w:r>
        <w:rPr>
          <w:rFonts w:ascii="宋体" w:hAnsi="宋体"/>
        </w:rPr>
        <w:t>1.19</w:t>
      </w:r>
      <w:r>
        <w:rPr>
          <w:rFonts w:hint="eastAsia" w:ascii="宋体" w:hAnsi="宋体"/>
        </w:rPr>
        <w:t>亿元。</w:t>
      </w:r>
    </w:p>
    <w:p>
      <w:pPr>
        <w:spacing w:line="579" w:lineRule="exact"/>
        <w:jc w:val="center"/>
        <w:rPr>
          <w:rFonts w:ascii="宋体" w:hAnsi="宋体" w:eastAsia="方正黑体_GBK"/>
          <w:color w:val="0000FF"/>
        </w:rPr>
      </w:pPr>
      <w:r>
        <w:rPr>
          <w:rFonts w:ascii="宋体" w:hAnsi="宋体" w:eastAsia="方正黑体_GBK"/>
        </w:rPr>
        <w:t>2020</w:t>
      </w:r>
      <w:r>
        <w:rPr>
          <w:rFonts w:hint="eastAsia" w:ascii="宋体" w:hAnsi="宋体" w:eastAsia="方正黑体_GBK"/>
        </w:rPr>
        <w:t>年区级一般公共预算收支预决算差异表</w:t>
      </w:r>
    </w:p>
    <w:p>
      <w:pPr>
        <w:snapToGrid w:val="0"/>
        <w:spacing w:line="579" w:lineRule="exact"/>
        <w:ind w:firstLine="7140" w:firstLineChars="2550"/>
        <w:rPr>
          <w:rFonts w:ascii="宋体" w:eastAsia="宋体"/>
          <w:sz w:val="28"/>
          <w:szCs w:val="28"/>
        </w:rPr>
      </w:pPr>
      <w:r>
        <w:rPr>
          <w:rFonts w:hint="eastAsia" w:ascii="宋体" w:hAnsi="宋体"/>
          <w:sz w:val="28"/>
          <w:szCs w:val="28"/>
        </w:rPr>
        <w:t>单位：亿元</w:t>
      </w:r>
    </w:p>
    <w:tbl>
      <w:tblPr>
        <w:tblStyle w:val="9"/>
        <w:tblW w:w="9451"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83"/>
        <w:gridCol w:w="981"/>
        <w:gridCol w:w="965"/>
        <w:gridCol w:w="973"/>
        <w:gridCol w:w="1704"/>
        <w:gridCol w:w="936"/>
        <w:gridCol w:w="936"/>
        <w:gridCol w:w="9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89"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收入</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73" w:type="dxa"/>
            <w:tcBorders>
              <w:top w:val="single" w:color="auto" w:sz="4" w:space="0"/>
              <w:left w:val="single" w:color="auto" w:sz="4" w:space="0"/>
              <w:bottom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140.01</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140.50</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0.49</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140.01</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140.50</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5"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一、本级收入</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60.10</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60.31</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0.21</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121.15</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117.66</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-3.49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8"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二、转移性收入</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79.91</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80.19</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0.28</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二、转移性支出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18.86</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22.84</w:t>
            </w:r>
          </w:p>
        </w:tc>
        <w:tc>
          <w:tcPr>
            <w:tcW w:w="973" w:type="dxa"/>
            <w:tcBorders>
              <w:top w:val="single" w:color="auto" w:sz="4" w:space="0"/>
              <w:left w:val="single" w:color="auto" w:sz="4" w:space="0"/>
              <w:bottom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3.98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2"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上级补助收入</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54.24</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54.12</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-0.12</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补助下级支出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8.53</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8.35</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-0.18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2"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调入资金</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18.45</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18.85</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0.4</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上解上级支出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7.00</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6.76</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-0.24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84"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调入预算稳定调节基金</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1.14</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1.14</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安排预算稳定调节基金</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2.83</w:t>
            </w:r>
          </w:p>
        </w:tc>
        <w:tc>
          <w:tcPr>
            <w:tcW w:w="973" w:type="dxa"/>
            <w:tcBorders>
              <w:top w:val="single" w:color="auto" w:sz="4" w:space="0"/>
              <w:left w:val="single" w:color="auto" w:sz="4" w:space="0"/>
              <w:bottom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2.83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71"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地方政府债券转贷收入</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5.78</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5.78</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地方政府债务还本支出</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3.33</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3.33</w:t>
            </w:r>
          </w:p>
        </w:tc>
        <w:tc>
          <w:tcPr>
            <w:tcW w:w="973" w:type="dxa"/>
            <w:tcBorders>
              <w:top w:val="single" w:color="auto" w:sz="4" w:space="0"/>
              <w:left w:val="single" w:color="auto" w:sz="4" w:space="0"/>
              <w:bottom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3"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上年结转</w:t>
            </w: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0.30</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0.30</w:t>
            </w: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调出资金</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0.38</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1" w:hRule="atLeast"/>
          <w:jc w:val="center"/>
        </w:trPr>
        <w:tc>
          <w:tcPr>
            <w:tcW w:w="1983"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p>
        </w:tc>
        <w:tc>
          <w:tcPr>
            <w:tcW w:w="981"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结转下年</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93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w:t>
            </w:r>
          </w:p>
        </w:tc>
        <w:tc>
          <w:tcPr>
            <w:tcW w:w="973" w:type="dxa"/>
            <w:tcBorders>
              <w:top w:val="single" w:color="auto" w:sz="4" w:space="0"/>
              <w:left w:val="single" w:color="auto" w:sz="4" w:space="0"/>
              <w:bottom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w:t>
            </w:r>
          </w:p>
        </w:tc>
      </w:tr>
    </w:tbl>
    <w:p>
      <w:pPr>
        <w:spacing w:line="579" w:lineRule="exact"/>
        <w:ind w:firstLine="640" w:firstLineChars="200"/>
        <w:rPr>
          <w:rFonts w:ascii="宋体" w:eastAsia="宋体"/>
        </w:rPr>
      </w:pPr>
      <w:r>
        <w:rPr>
          <w:rFonts w:hint="eastAsia" w:ascii="宋体" w:hAnsi="宋体"/>
        </w:rPr>
        <w:t>区级收支具体决算情况如下：</w:t>
      </w:r>
    </w:p>
    <w:p>
      <w:pPr>
        <w:numPr>
          <w:ilvl w:val="0"/>
          <w:numId w:val="2"/>
        </w:numPr>
        <w:spacing w:line="579" w:lineRule="exact"/>
        <w:ind w:firstLine="640" w:firstLineChars="200"/>
        <w:rPr>
          <w:rFonts w:ascii="宋体" w:eastAsia="宋体"/>
        </w:rPr>
      </w:pPr>
      <w:r>
        <w:rPr>
          <w:rFonts w:hint="eastAsia" w:ascii="宋体" w:hAnsi="宋体"/>
        </w:rPr>
        <w:t>收入决算情况。区级一般公共预算收入</w:t>
      </w:r>
      <w:r>
        <w:rPr>
          <w:rFonts w:ascii="宋体" w:hAnsi="宋体"/>
        </w:rPr>
        <w:t>60.31</w:t>
      </w:r>
      <w:r>
        <w:rPr>
          <w:rFonts w:hint="eastAsia" w:ascii="宋体" w:hAnsi="宋体"/>
        </w:rPr>
        <w:t>亿元，下降</w:t>
      </w:r>
      <w:r>
        <w:rPr>
          <w:rFonts w:ascii="宋体" w:hAnsi="宋体"/>
        </w:rPr>
        <w:t>6.4%</w:t>
      </w:r>
      <w:r>
        <w:rPr>
          <w:rFonts w:hint="eastAsia" w:ascii="宋体" w:hAnsi="宋体"/>
        </w:rPr>
        <w:t>，为预算的</w:t>
      </w:r>
      <w:r>
        <w:rPr>
          <w:rFonts w:ascii="宋体" w:hAnsi="宋体"/>
        </w:rPr>
        <w:t>100.3%</w:t>
      </w:r>
      <w:r>
        <w:rPr>
          <w:rFonts w:hint="eastAsia" w:ascii="宋体" w:hAnsi="宋体"/>
        </w:rPr>
        <w:t>。其中：税收收入</w:t>
      </w:r>
      <w:r>
        <w:rPr>
          <w:rFonts w:ascii="宋体" w:hAnsi="宋体"/>
        </w:rPr>
        <w:t>41.48</w:t>
      </w:r>
      <w:r>
        <w:rPr>
          <w:rFonts w:hint="eastAsia" w:ascii="宋体" w:hAnsi="宋体"/>
        </w:rPr>
        <w:t>亿元，下降</w:t>
      </w:r>
      <w:r>
        <w:rPr>
          <w:rFonts w:ascii="宋体" w:hAnsi="宋体"/>
        </w:rPr>
        <w:t>5.6%</w:t>
      </w:r>
      <w:r>
        <w:rPr>
          <w:rFonts w:hint="eastAsia" w:ascii="宋体" w:hAnsi="宋体"/>
        </w:rPr>
        <w:t>，为预算的</w:t>
      </w:r>
      <w:r>
        <w:rPr>
          <w:rFonts w:ascii="宋体" w:hAnsi="宋体"/>
        </w:rPr>
        <w:t>100.2%</w:t>
      </w:r>
      <w:r>
        <w:rPr>
          <w:rFonts w:hint="eastAsia" w:ascii="宋体" w:hAnsi="宋体"/>
        </w:rPr>
        <w:t>；非税收入</w:t>
      </w:r>
      <w:r>
        <w:rPr>
          <w:rFonts w:ascii="宋体" w:hAnsi="宋体"/>
        </w:rPr>
        <w:t>18.83</w:t>
      </w:r>
      <w:r>
        <w:rPr>
          <w:rFonts w:hint="eastAsia" w:ascii="宋体" w:hAnsi="宋体"/>
        </w:rPr>
        <w:t>亿元，下降</w:t>
      </w:r>
      <w:r>
        <w:rPr>
          <w:rFonts w:ascii="宋体" w:hAnsi="宋体"/>
        </w:rPr>
        <w:t>8.3%</w:t>
      </w:r>
      <w:r>
        <w:rPr>
          <w:rFonts w:hint="eastAsia" w:ascii="宋体" w:hAnsi="宋体"/>
        </w:rPr>
        <w:t>，为预算的</w:t>
      </w:r>
      <w:r>
        <w:rPr>
          <w:rFonts w:ascii="宋体" w:hAnsi="宋体"/>
        </w:rPr>
        <w:t>100.7%</w:t>
      </w:r>
      <w:r>
        <w:rPr>
          <w:rFonts w:hint="eastAsia" w:ascii="宋体" w:hAnsi="宋体"/>
        </w:rPr>
        <w:t>。税收收入中，增值税</w:t>
      </w:r>
      <w:r>
        <w:rPr>
          <w:rFonts w:ascii="宋体" w:hAnsi="宋体"/>
        </w:rPr>
        <w:t>11.30</w:t>
      </w:r>
      <w:r>
        <w:rPr>
          <w:rFonts w:hint="eastAsia" w:ascii="宋体" w:hAnsi="宋体"/>
        </w:rPr>
        <w:t>亿元，下降</w:t>
      </w:r>
      <w:r>
        <w:rPr>
          <w:rFonts w:ascii="宋体" w:hAnsi="宋体"/>
        </w:rPr>
        <w:t>18.4%</w:t>
      </w:r>
      <w:r>
        <w:rPr>
          <w:rFonts w:hint="eastAsia" w:ascii="宋体" w:hAnsi="宋体"/>
        </w:rPr>
        <w:t>；企业所得税</w:t>
      </w:r>
      <w:r>
        <w:rPr>
          <w:rFonts w:ascii="宋体" w:hAnsi="宋体"/>
        </w:rPr>
        <w:t>6.37</w:t>
      </w:r>
      <w:r>
        <w:rPr>
          <w:rFonts w:hint="eastAsia" w:ascii="宋体" w:hAnsi="宋体"/>
        </w:rPr>
        <w:t>亿元，下降</w:t>
      </w:r>
      <w:r>
        <w:rPr>
          <w:rFonts w:ascii="宋体" w:hAnsi="宋体"/>
        </w:rPr>
        <w:t>1.3%</w:t>
      </w:r>
      <w:r>
        <w:rPr>
          <w:rFonts w:hint="eastAsia" w:ascii="宋体" w:hAnsi="宋体"/>
        </w:rPr>
        <w:t>；个人所得税</w:t>
      </w:r>
      <w:r>
        <w:rPr>
          <w:rFonts w:ascii="宋体" w:hAnsi="宋体"/>
        </w:rPr>
        <w:t>0.82</w:t>
      </w:r>
      <w:r>
        <w:rPr>
          <w:rFonts w:hint="eastAsia" w:ascii="宋体" w:hAnsi="宋体"/>
        </w:rPr>
        <w:t>亿元，增长</w:t>
      </w:r>
      <w:r>
        <w:rPr>
          <w:rFonts w:ascii="宋体" w:hAnsi="宋体"/>
        </w:rPr>
        <w:t>12.2%</w:t>
      </w:r>
      <w:r>
        <w:rPr>
          <w:rFonts w:hint="eastAsia" w:ascii="宋体" w:hAnsi="宋体"/>
        </w:rPr>
        <w:t>；资源税</w:t>
      </w:r>
      <w:r>
        <w:rPr>
          <w:rFonts w:ascii="宋体" w:hAnsi="宋体"/>
        </w:rPr>
        <w:t>0.19</w:t>
      </w:r>
      <w:r>
        <w:rPr>
          <w:rFonts w:hint="eastAsia" w:ascii="宋体" w:hAnsi="宋体"/>
        </w:rPr>
        <w:t>亿元，增长</w:t>
      </w:r>
      <w:r>
        <w:rPr>
          <w:rFonts w:ascii="宋体" w:hAnsi="宋体"/>
        </w:rPr>
        <w:t>25.9%</w:t>
      </w:r>
      <w:r>
        <w:rPr>
          <w:rFonts w:hint="eastAsia" w:ascii="宋体" w:hAnsi="宋体"/>
        </w:rPr>
        <w:t>；城市维护建设税</w:t>
      </w:r>
      <w:r>
        <w:rPr>
          <w:rFonts w:ascii="宋体" w:hAnsi="宋体"/>
        </w:rPr>
        <w:t>3.21</w:t>
      </w:r>
      <w:r>
        <w:rPr>
          <w:rFonts w:hint="eastAsia" w:ascii="宋体" w:hAnsi="宋体"/>
        </w:rPr>
        <w:t>亿元，下降</w:t>
      </w:r>
      <w:r>
        <w:rPr>
          <w:rFonts w:ascii="宋体" w:hAnsi="宋体"/>
        </w:rPr>
        <w:t>10.6%</w:t>
      </w:r>
      <w:r>
        <w:rPr>
          <w:rFonts w:hint="eastAsia" w:ascii="宋体" w:hAnsi="宋体"/>
        </w:rPr>
        <w:t>；房产税</w:t>
      </w:r>
      <w:r>
        <w:rPr>
          <w:rFonts w:ascii="宋体" w:hAnsi="宋体"/>
        </w:rPr>
        <w:t>2.55</w:t>
      </w:r>
      <w:r>
        <w:rPr>
          <w:rFonts w:hint="eastAsia" w:ascii="宋体" w:hAnsi="宋体"/>
        </w:rPr>
        <w:t>亿元，增长</w:t>
      </w:r>
      <w:r>
        <w:rPr>
          <w:rFonts w:ascii="宋体" w:hAnsi="宋体"/>
        </w:rPr>
        <w:t>4.7%</w:t>
      </w:r>
      <w:r>
        <w:rPr>
          <w:rFonts w:hint="eastAsia" w:ascii="宋体" w:hAnsi="宋体"/>
        </w:rPr>
        <w:t>；印花税</w:t>
      </w:r>
      <w:r>
        <w:rPr>
          <w:rFonts w:ascii="宋体" w:hAnsi="宋体"/>
        </w:rPr>
        <w:t>0.86</w:t>
      </w:r>
      <w:r>
        <w:rPr>
          <w:rFonts w:hint="eastAsia" w:ascii="宋体" w:hAnsi="宋体"/>
        </w:rPr>
        <w:t>亿元，增长</w:t>
      </w:r>
      <w:r>
        <w:rPr>
          <w:rFonts w:ascii="宋体" w:hAnsi="宋体"/>
        </w:rPr>
        <w:t>0.5%</w:t>
      </w:r>
      <w:r>
        <w:rPr>
          <w:rFonts w:hint="eastAsia" w:ascii="宋体" w:hAnsi="宋体"/>
        </w:rPr>
        <w:t>；城镇土地使用税</w:t>
      </w:r>
      <w:r>
        <w:rPr>
          <w:rFonts w:ascii="宋体" w:hAnsi="宋体"/>
        </w:rPr>
        <w:t>4.15</w:t>
      </w:r>
      <w:r>
        <w:rPr>
          <w:rFonts w:hint="eastAsia" w:ascii="宋体" w:hAnsi="宋体"/>
        </w:rPr>
        <w:t>亿元，下降</w:t>
      </w:r>
      <w:r>
        <w:rPr>
          <w:rFonts w:ascii="宋体" w:hAnsi="宋体"/>
        </w:rPr>
        <w:t>5.9%</w:t>
      </w:r>
      <w:r>
        <w:rPr>
          <w:rFonts w:hint="eastAsia" w:ascii="宋体" w:hAnsi="宋体"/>
        </w:rPr>
        <w:t>；土地增值税</w:t>
      </w:r>
      <w:r>
        <w:rPr>
          <w:rFonts w:ascii="宋体" w:hAnsi="宋体"/>
        </w:rPr>
        <w:t>2.90</w:t>
      </w:r>
      <w:r>
        <w:rPr>
          <w:rFonts w:hint="eastAsia" w:ascii="宋体" w:hAnsi="宋体"/>
        </w:rPr>
        <w:t>亿元，下降</w:t>
      </w:r>
      <w:r>
        <w:rPr>
          <w:rFonts w:ascii="宋体" w:hAnsi="宋体"/>
        </w:rPr>
        <w:t>19.8%</w:t>
      </w:r>
      <w:r>
        <w:rPr>
          <w:rFonts w:hint="eastAsia" w:ascii="宋体" w:hAnsi="宋体"/>
        </w:rPr>
        <w:t>；耕地占用税</w:t>
      </w:r>
      <w:r>
        <w:rPr>
          <w:rFonts w:ascii="宋体" w:hAnsi="宋体"/>
        </w:rPr>
        <w:t>1.67</w:t>
      </w:r>
      <w:r>
        <w:rPr>
          <w:rFonts w:hint="eastAsia" w:ascii="宋体" w:hAnsi="宋体"/>
        </w:rPr>
        <w:t>亿元，增长</w:t>
      </w:r>
      <w:r>
        <w:rPr>
          <w:rFonts w:ascii="宋体" w:hAnsi="宋体"/>
        </w:rPr>
        <w:t>4.0%</w:t>
      </w:r>
      <w:r>
        <w:rPr>
          <w:rFonts w:hint="eastAsia" w:ascii="宋体" w:hAnsi="宋体"/>
        </w:rPr>
        <w:t>；契税</w:t>
      </w:r>
      <w:r>
        <w:rPr>
          <w:rFonts w:ascii="宋体" w:hAnsi="宋体"/>
        </w:rPr>
        <w:t>7.42</w:t>
      </w:r>
      <w:r>
        <w:rPr>
          <w:rFonts w:hint="eastAsia" w:ascii="宋体" w:hAnsi="宋体"/>
        </w:rPr>
        <w:t>亿元，增长</w:t>
      </w:r>
      <w:r>
        <w:rPr>
          <w:rFonts w:ascii="宋体" w:hAnsi="宋体"/>
        </w:rPr>
        <w:t>21.1%</w:t>
      </w:r>
      <w:r>
        <w:rPr>
          <w:rFonts w:hint="eastAsia" w:ascii="宋体" w:hAnsi="宋体"/>
        </w:rPr>
        <w:t>；环境保护税</w:t>
      </w:r>
      <w:r>
        <w:rPr>
          <w:rFonts w:ascii="宋体" w:hAnsi="宋体"/>
        </w:rPr>
        <w:t>0.04</w:t>
      </w:r>
      <w:r>
        <w:rPr>
          <w:rFonts w:hint="eastAsia" w:ascii="宋体" w:hAnsi="宋体"/>
        </w:rPr>
        <w:t>亿元，下降</w:t>
      </w:r>
      <w:r>
        <w:rPr>
          <w:rFonts w:ascii="宋体" w:hAnsi="宋体"/>
        </w:rPr>
        <w:t>23.9%</w:t>
      </w:r>
      <w:r>
        <w:rPr>
          <w:rFonts w:hint="eastAsia" w:ascii="宋体" w:hAnsi="宋体"/>
        </w:rPr>
        <w:t>。</w:t>
      </w:r>
    </w:p>
    <w:p>
      <w:pPr>
        <w:spacing w:line="579" w:lineRule="exact"/>
        <w:ind w:firstLine="640" w:firstLineChars="200"/>
        <w:rPr>
          <w:rFonts w:ascii="宋体" w:eastAsia="宋体"/>
        </w:rPr>
      </w:pPr>
      <w:r>
        <w:rPr>
          <w:rFonts w:hint="eastAsia" w:ascii="宋体" w:hAnsi="宋体"/>
        </w:rPr>
        <w:t>（</w:t>
      </w:r>
      <w:r>
        <w:rPr>
          <w:rFonts w:ascii="宋体" w:hAnsi="宋体"/>
        </w:rPr>
        <w:t>2</w:t>
      </w:r>
      <w:r>
        <w:rPr>
          <w:rFonts w:hint="eastAsia" w:ascii="宋体" w:hAnsi="宋体"/>
        </w:rPr>
        <w:t>）支出决算情况。区级一般公共预算支出</w:t>
      </w:r>
      <w:r>
        <w:rPr>
          <w:rFonts w:ascii="宋体" w:hAnsi="宋体"/>
        </w:rPr>
        <w:t>117.66</w:t>
      </w:r>
      <w:r>
        <w:rPr>
          <w:rFonts w:hint="eastAsia" w:ascii="宋体" w:hAnsi="宋体"/>
        </w:rPr>
        <w:t>亿元，下降</w:t>
      </w:r>
      <w:r>
        <w:rPr>
          <w:rFonts w:ascii="宋体" w:hAnsi="宋体"/>
        </w:rPr>
        <w:t>7.2%</w:t>
      </w:r>
      <w:r>
        <w:rPr>
          <w:rFonts w:hint="eastAsia" w:ascii="宋体" w:hAnsi="宋体"/>
        </w:rPr>
        <w:t>，为预算的</w:t>
      </w:r>
      <w:r>
        <w:rPr>
          <w:rFonts w:ascii="宋体" w:hAnsi="宋体"/>
        </w:rPr>
        <w:t>97.1%</w:t>
      </w:r>
      <w:r>
        <w:rPr>
          <w:rFonts w:hint="eastAsia" w:ascii="宋体" w:hAnsi="宋体"/>
        </w:rPr>
        <w:t>。其中：一般公共服务支出</w:t>
      </w:r>
      <w:r>
        <w:rPr>
          <w:rFonts w:ascii="宋体" w:hAnsi="宋体"/>
        </w:rPr>
        <w:t>6.14</w:t>
      </w:r>
      <w:r>
        <w:rPr>
          <w:rFonts w:hint="eastAsia" w:ascii="宋体" w:hAnsi="宋体"/>
        </w:rPr>
        <w:t>亿元，增长</w:t>
      </w:r>
      <w:r>
        <w:rPr>
          <w:rFonts w:ascii="宋体" w:hAnsi="宋体"/>
        </w:rPr>
        <w:t>10.3%</w:t>
      </w:r>
      <w:r>
        <w:rPr>
          <w:rFonts w:hint="eastAsia" w:ascii="宋体" w:hAnsi="宋体"/>
        </w:rPr>
        <w:t>；国防支出</w:t>
      </w:r>
      <w:r>
        <w:rPr>
          <w:rFonts w:ascii="宋体" w:hAnsi="宋体"/>
        </w:rPr>
        <w:t>0.07</w:t>
      </w:r>
      <w:r>
        <w:rPr>
          <w:rFonts w:hint="eastAsia" w:ascii="宋体" w:hAnsi="宋体"/>
        </w:rPr>
        <w:t>亿元，减少</w:t>
      </w:r>
      <w:r>
        <w:rPr>
          <w:rFonts w:ascii="宋体" w:hAnsi="宋体"/>
        </w:rPr>
        <w:t>8.8%</w:t>
      </w:r>
      <w:r>
        <w:rPr>
          <w:rFonts w:hint="eastAsia" w:ascii="宋体" w:hAnsi="宋体"/>
        </w:rPr>
        <w:t>；公共安全支出</w:t>
      </w:r>
      <w:r>
        <w:rPr>
          <w:rFonts w:ascii="宋体" w:hAnsi="宋体"/>
        </w:rPr>
        <w:t>5.95</w:t>
      </w:r>
      <w:r>
        <w:rPr>
          <w:rFonts w:hint="eastAsia" w:ascii="宋体" w:hAnsi="宋体"/>
        </w:rPr>
        <w:t>亿元，增长</w:t>
      </w:r>
      <w:r>
        <w:rPr>
          <w:rFonts w:ascii="宋体" w:hAnsi="宋体"/>
        </w:rPr>
        <w:t>38.8%</w:t>
      </w:r>
      <w:r>
        <w:rPr>
          <w:rFonts w:hint="eastAsia" w:ascii="宋体" w:hAnsi="宋体"/>
        </w:rPr>
        <w:t>；教育支出</w:t>
      </w:r>
      <w:r>
        <w:rPr>
          <w:rFonts w:ascii="宋体" w:hAnsi="宋体"/>
        </w:rPr>
        <w:t>23.54</w:t>
      </w:r>
      <w:r>
        <w:rPr>
          <w:rFonts w:hint="eastAsia" w:ascii="宋体" w:hAnsi="宋体"/>
        </w:rPr>
        <w:t>亿元，增长</w:t>
      </w:r>
      <w:r>
        <w:rPr>
          <w:rFonts w:ascii="宋体" w:hAnsi="宋体"/>
        </w:rPr>
        <w:t>1.6%</w:t>
      </w:r>
      <w:r>
        <w:rPr>
          <w:rFonts w:hint="eastAsia" w:ascii="宋体" w:hAnsi="宋体"/>
        </w:rPr>
        <w:t>；科学技术支出</w:t>
      </w:r>
      <w:r>
        <w:rPr>
          <w:rFonts w:ascii="宋体" w:hAnsi="宋体"/>
        </w:rPr>
        <w:t>1.50</w:t>
      </w:r>
      <w:r>
        <w:rPr>
          <w:rFonts w:hint="eastAsia" w:ascii="宋体" w:hAnsi="宋体"/>
        </w:rPr>
        <w:t>亿元，增长</w:t>
      </w:r>
      <w:r>
        <w:rPr>
          <w:rFonts w:ascii="宋体" w:hAnsi="宋体"/>
        </w:rPr>
        <w:t>24.0%</w:t>
      </w:r>
      <w:r>
        <w:rPr>
          <w:rFonts w:hint="eastAsia" w:ascii="宋体" w:hAnsi="宋体"/>
        </w:rPr>
        <w:t>；文化体育与传媒支出</w:t>
      </w:r>
      <w:r>
        <w:rPr>
          <w:rFonts w:ascii="宋体" w:hAnsi="宋体"/>
        </w:rPr>
        <w:t>1.93</w:t>
      </w:r>
      <w:r>
        <w:rPr>
          <w:rFonts w:hint="eastAsia" w:ascii="宋体" w:hAnsi="宋体"/>
        </w:rPr>
        <w:t>亿元，减少</w:t>
      </w:r>
      <w:r>
        <w:rPr>
          <w:rFonts w:ascii="宋体" w:hAnsi="宋体"/>
        </w:rPr>
        <w:t>14.4%</w:t>
      </w:r>
      <w:r>
        <w:rPr>
          <w:rFonts w:hint="eastAsia" w:ascii="宋体" w:hAnsi="宋体"/>
        </w:rPr>
        <w:t>；社会保障和就业支出</w:t>
      </w:r>
      <w:r>
        <w:rPr>
          <w:rFonts w:ascii="宋体" w:hAnsi="宋体"/>
        </w:rPr>
        <w:t>15.11</w:t>
      </w:r>
      <w:r>
        <w:rPr>
          <w:rFonts w:hint="eastAsia" w:ascii="宋体" w:hAnsi="宋体"/>
        </w:rPr>
        <w:t>亿元，增长</w:t>
      </w:r>
      <w:r>
        <w:rPr>
          <w:rFonts w:ascii="宋体" w:hAnsi="宋体"/>
        </w:rPr>
        <w:t>5.3%</w:t>
      </w:r>
      <w:r>
        <w:rPr>
          <w:rFonts w:hint="eastAsia" w:ascii="宋体" w:hAnsi="宋体"/>
        </w:rPr>
        <w:t>；卫生健康支出</w:t>
      </w:r>
      <w:r>
        <w:rPr>
          <w:rFonts w:ascii="宋体" w:hAnsi="宋体"/>
        </w:rPr>
        <w:t>17.41</w:t>
      </w:r>
      <w:r>
        <w:rPr>
          <w:rFonts w:hint="eastAsia" w:ascii="宋体" w:hAnsi="宋体"/>
        </w:rPr>
        <w:t>亿元，增长</w:t>
      </w:r>
      <w:r>
        <w:rPr>
          <w:rFonts w:ascii="宋体" w:hAnsi="宋体"/>
        </w:rPr>
        <w:t>9.1%</w:t>
      </w:r>
      <w:r>
        <w:rPr>
          <w:rFonts w:hint="eastAsia" w:ascii="宋体" w:hAnsi="宋体"/>
        </w:rPr>
        <w:t>；节能环保支出</w:t>
      </w:r>
      <w:r>
        <w:rPr>
          <w:rFonts w:ascii="宋体" w:hAnsi="宋体"/>
        </w:rPr>
        <w:t>1.82</w:t>
      </w:r>
      <w:r>
        <w:rPr>
          <w:rFonts w:hint="eastAsia" w:ascii="宋体" w:hAnsi="宋体"/>
        </w:rPr>
        <w:t>亿元，下降</w:t>
      </w:r>
      <w:r>
        <w:rPr>
          <w:rFonts w:ascii="宋体" w:hAnsi="宋体"/>
        </w:rPr>
        <w:t>6.8%</w:t>
      </w:r>
      <w:r>
        <w:rPr>
          <w:rFonts w:hint="eastAsia" w:ascii="宋体" w:hAnsi="宋体"/>
        </w:rPr>
        <w:t>；城乡社区支出</w:t>
      </w:r>
      <w:r>
        <w:rPr>
          <w:rFonts w:ascii="宋体" w:hAnsi="宋体"/>
        </w:rPr>
        <w:t>15.04</w:t>
      </w:r>
      <w:r>
        <w:rPr>
          <w:rFonts w:hint="eastAsia" w:ascii="宋体" w:hAnsi="宋体"/>
        </w:rPr>
        <w:t>亿元，下降</w:t>
      </w:r>
      <w:r>
        <w:rPr>
          <w:rFonts w:ascii="宋体" w:hAnsi="宋体"/>
        </w:rPr>
        <w:t>39.6%</w:t>
      </w:r>
      <w:r>
        <w:rPr>
          <w:rFonts w:hint="eastAsia" w:ascii="宋体" w:hAnsi="宋体"/>
        </w:rPr>
        <w:t>；农林水支出</w:t>
      </w:r>
      <w:r>
        <w:rPr>
          <w:rFonts w:ascii="宋体" w:hAnsi="宋体"/>
        </w:rPr>
        <w:t>12.31</w:t>
      </w:r>
      <w:r>
        <w:rPr>
          <w:rFonts w:hint="eastAsia" w:ascii="宋体" w:hAnsi="宋体"/>
        </w:rPr>
        <w:t>亿元，增长</w:t>
      </w:r>
      <w:r>
        <w:rPr>
          <w:rFonts w:ascii="宋体" w:hAnsi="宋体"/>
        </w:rPr>
        <w:t>5.7%</w:t>
      </w:r>
      <w:r>
        <w:rPr>
          <w:rFonts w:hint="eastAsia" w:ascii="宋体" w:hAnsi="宋体"/>
        </w:rPr>
        <w:t>；交通运输支出</w:t>
      </w:r>
      <w:r>
        <w:rPr>
          <w:rFonts w:ascii="宋体" w:hAnsi="宋体"/>
        </w:rPr>
        <w:t>4.50</w:t>
      </w:r>
      <w:r>
        <w:rPr>
          <w:rFonts w:hint="eastAsia" w:ascii="宋体" w:hAnsi="宋体"/>
        </w:rPr>
        <w:t>亿元，下降</w:t>
      </w:r>
      <w:r>
        <w:rPr>
          <w:rFonts w:ascii="宋体" w:hAnsi="宋体"/>
        </w:rPr>
        <w:t>51.8%</w:t>
      </w:r>
      <w:r>
        <w:rPr>
          <w:rFonts w:hint="eastAsia" w:ascii="宋体" w:hAnsi="宋体"/>
        </w:rPr>
        <w:t>；资源勘探信息等支出</w:t>
      </w:r>
      <w:r>
        <w:rPr>
          <w:rFonts w:ascii="宋体" w:hAnsi="宋体"/>
        </w:rPr>
        <w:t>2.30</w:t>
      </w:r>
      <w:r>
        <w:rPr>
          <w:rFonts w:hint="eastAsia" w:ascii="宋体" w:hAnsi="宋体"/>
        </w:rPr>
        <w:t>亿元，增长</w:t>
      </w:r>
      <w:r>
        <w:rPr>
          <w:rFonts w:ascii="宋体" w:hAnsi="宋体"/>
        </w:rPr>
        <w:t>30.3%</w:t>
      </w:r>
      <w:r>
        <w:rPr>
          <w:rFonts w:hint="eastAsia" w:ascii="宋体" w:hAnsi="宋体"/>
        </w:rPr>
        <w:t>；商业服务业等支出</w:t>
      </w:r>
      <w:r>
        <w:rPr>
          <w:rFonts w:ascii="宋体" w:hAnsi="宋体"/>
        </w:rPr>
        <w:t>0.67</w:t>
      </w:r>
      <w:r>
        <w:rPr>
          <w:rFonts w:hint="eastAsia" w:ascii="宋体" w:hAnsi="宋体"/>
        </w:rPr>
        <w:t>亿元，增加</w:t>
      </w:r>
      <w:r>
        <w:rPr>
          <w:rFonts w:ascii="宋体" w:hAnsi="宋体"/>
        </w:rPr>
        <w:t>48.1%</w:t>
      </w:r>
      <w:r>
        <w:rPr>
          <w:rFonts w:hint="eastAsia" w:ascii="宋体" w:hAnsi="宋体"/>
        </w:rPr>
        <w:t>；金融支出</w:t>
      </w:r>
      <w:r>
        <w:rPr>
          <w:rFonts w:ascii="宋体" w:hAnsi="宋体"/>
        </w:rPr>
        <w:t>0.29</w:t>
      </w:r>
      <w:r>
        <w:rPr>
          <w:rFonts w:hint="eastAsia" w:ascii="宋体" w:hAnsi="宋体"/>
        </w:rPr>
        <w:t>亿元，下降</w:t>
      </w:r>
      <w:r>
        <w:rPr>
          <w:rFonts w:ascii="宋体" w:hAnsi="宋体"/>
        </w:rPr>
        <w:t>52.6%</w:t>
      </w:r>
      <w:r>
        <w:rPr>
          <w:rFonts w:hint="eastAsia" w:ascii="宋体" w:hAnsi="宋体"/>
        </w:rPr>
        <w:t>；自然资源海洋气象等支出</w:t>
      </w:r>
      <w:r>
        <w:rPr>
          <w:rFonts w:ascii="宋体" w:hAnsi="宋体"/>
        </w:rPr>
        <w:t>0.90</w:t>
      </w:r>
      <w:r>
        <w:rPr>
          <w:rFonts w:hint="eastAsia" w:ascii="宋体" w:hAnsi="宋体"/>
        </w:rPr>
        <w:t>亿元，下降</w:t>
      </w:r>
      <w:r>
        <w:rPr>
          <w:rFonts w:ascii="宋体" w:hAnsi="宋体"/>
        </w:rPr>
        <w:t>49.7%</w:t>
      </w:r>
      <w:r>
        <w:rPr>
          <w:rFonts w:hint="eastAsia" w:ascii="宋体" w:hAnsi="宋体"/>
        </w:rPr>
        <w:t>；住房保障支出</w:t>
      </w:r>
      <w:r>
        <w:rPr>
          <w:rFonts w:ascii="宋体" w:hAnsi="宋体"/>
        </w:rPr>
        <w:t>4.70</w:t>
      </w:r>
      <w:r>
        <w:rPr>
          <w:rFonts w:hint="eastAsia" w:ascii="宋体" w:hAnsi="宋体"/>
        </w:rPr>
        <w:t>亿元，下降</w:t>
      </w:r>
      <w:r>
        <w:rPr>
          <w:rFonts w:ascii="宋体" w:hAnsi="宋体"/>
        </w:rPr>
        <w:t>3.7%</w:t>
      </w:r>
      <w:r>
        <w:rPr>
          <w:rFonts w:hint="eastAsia" w:ascii="宋体" w:hAnsi="宋体"/>
        </w:rPr>
        <w:t>；粮油物资储备支出</w:t>
      </w:r>
      <w:r>
        <w:rPr>
          <w:rFonts w:ascii="宋体" w:hAnsi="宋体"/>
        </w:rPr>
        <w:t>0.24</w:t>
      </w:r>
      <w:r>
        <w:rPr>
          <w:rFonts w:hint="eastAsia" w:ascii="宋体" w:hAnsi="宋体"/>
        </w:rPr>
        <w:t>亿元，增加</w:t>
      </w:r>
      <w:r>
        <w:rPr>
          <w:rFonts w:ascii="宋体" w:hAnsi="宋体"/>
        </w:rPr>
        <w:t>1.7%</w:t>
      </w:r>
      <w:r>
        <w:rPr>
          <w:rFonts w:hint="eastAsia" w:ascii="宋体" w:hAnsi="宋体"/>
        </w:rPr>
        <w:t>；灾害防治及应急管理支出</w:t>
      </w:r>
      <w:r>
        <w:rPr>
          <w:rFonts w:ascii="宋体" w:hAnsi="宋体"/>
        </w:rPr>
        <w:t>1.32</w:t>
      </w:r>
      <w:r>
        <w:rPr>
          <w:rFonts w:hint="eastAsia" w:ascii="宋体" w:hAnsi="宋体"/>
        </w:rPr>
        <w:t>亿元，增加</w:t>
      </w:r>
      <w:r>
        <w:rPr>
          <w:rFonts w:ascii="宋体" w:hAnsi="宋体"/>
        </w:rPr>
        <w:t>146.8%</w:t>
      </w:r>
      <w:r>
        <w:rPr>
          <w:rFonts w:hint="eastAsia" w:ascii="宋体" w:hAnsi="宋体"/>
        </w:rPr>
        <w:t>；债务付息支出</w:t>
      </w:r>
      <w:r>
        <w:rPr>
          <w:rFonts w:ascii="宋体" w:hAnsi="宋体"/>
        </w:rPr>
        <w:t>1.87</w:t>
      </w:r>
      <w:r>
        <w:rPr>
          <w:rFonts w:hint="eastAsia" w:ascii="宋体" w:hAnsi="宋体"/>
        </w:rPr>
        <w:t>亿元，增长</w:t>
      </w:r>
      <w:r>
        <w:rPr>
          <w:rFonts w:ascii="宋体" w:hAnsi="宋体"/>
        </w:rPr>
        <w:t>5.2%</w:t>
      </w:r>
      <w:r>
        <w:rPr>
          <w:rFonts w:hint="eastAsia" w:ascii="宋体" w:hAnsi="宋体"/>
        </w:rPr>
        <w:t>；援助其他地区支出</w:t>
      </w:r>
      <w:r>
        <w:rPr>
          <w:rFonts w:ascii="宋体" w:hAnsi="宋体"/>
        </w:rPr>
        <w:t>0.05</w:t>
      </w:r>
      <w:r>
        <w:rPr>
          <w:rFonts w:hint="eastAsia" w:ascii="宋体" w:hAnsi="宋体"/>
        </w:rPr>
        <w:t>亿元。</w:t>
      </w:r>
    </w:p>
    <w:p>
      <w:pPr>
        <w:spacing w:line="579" w:lineRule="exact"/>
        <w:ind w:firstLine="640" w:firstLineChars="200"/>
        <w:rPr>
          <w:rFonts w:ascii="宋体" w:eastAsia="宋体"/>
        </w:rPr>
      </w:pPr>
      <w:r>
        <w:rPr>
          <w:rFonts w:ascii="宋体" w:hAnsi="宋体"/>
        </w:rPr>
        <w:t>2</w:t>
      </w:r>
      <w:r>
        <w:rPr>
          <w:rFonts w:hint="eastAsia" w:ascii="宋体" w:hAnsi="宋体"/>
        </w:rPr>
        <w:t>．政府性基金预算</w:t>
      </w:r>
    </w:p>
    <w:p>
      <w:pPr>
        <w:spacing w:line="579" w:lineRule="exact"/>
        <w:ind w:firstLine="640" w:firstLineChars="200"/>
        <w:rPr>
          <w:rFonts w:ascii="宋体" w:eastAsia="宋体"/>
        </w:rPr>
      </w:pPr>
      <w:r>
        <w:rPr>
          <w:rFonts w:hint="eastAsia" w:ascii="宋体" w:hAnsi="宋体"/>
        </w:rPr>
        <w:t>区级政府性基金预算收入</w:t>
      </w:r>
      <w:r>
        <w:rPr>
          <w:rFonts w:ascii="宋体" w:hAnsi="宋体"/>
        </w:rPr>
        <w:t>74.27</w:t>
      </w:r>
      <w:r>
        <w:rPr>
          <w:rFonts w:hint="eastAsia" w:ascii="宋体" w:hAnsi="宋体"/>
        </w:rPr>
        <w:t>亿元，下降</w:t>
      </w:r>
      <w:r>
        <w:rPr>
          <w:rFonts w:ascii="宋体" w:hAnsi="宋体"/>
        </w:rPr>
        <w:t>0.9%</w:t>
      </w:r>
      <w:r>
        <w:rPr>
          <w:rFonts w:hint="eastAsia" w:ascii="宋体" w:hAnsi="宋体"/>
        </w:rPr>
        <w:t>，为预算的</w:t>
      </w:r>
      <w:r>
        <w:rPr>
          <w:rFonts w:ascii="宋体" w:hAnsi="宋体"/>
        </w:rPr>
        <w:t>100.4%</w:t>
      </w:r>
      <w:r>
        <w:rPr>
          <w:rFonts w:hint="eastAsia" w:ascii="宋体" w:hAnsi="宋体"/>
        </w:rPr>
        <w:t>，加上上级补助、调入资金、地方政府债券转贷收入和上年结转等，收入总计</w:t>
      </w:r>
      <w:r>
        <w:rPr>
          <w:rFonts w:ascii="宋体" w:hAnsi="宋体"/>
        </w:rPr>
        <w:t>119.32</w:t>
      </w:r>
      <w:r>
        <w:rPr>
          <w:rFonts w:hint="eastAsia" w:ascii="宋体" w:hAnsi="宋体"/>
        </w:rPr>
        <w:t>亿元。区级政府性基金预算支出</w:t>
      </w:r>
      <w:r>
        <w:rPr>
          <w:rFonts w:ascii="宋体" w:hAnsi="宋体"/>
        </w:rPr>
        <w:t>84.87</w:t>
      </w:r>
      <w:r>
        <w:rPr>
          <w:rFonts w:hint="eastAsia" w:ascii="宋体" w:hAnsi="宋体"/>
        </w:rPr>
        <w:t>亿元，增长</w:t>
      </w:r>
      <w:r>
        <w:rPr>
          <w:rFonts w:ascii="宋体" w:hAnsi="宋体"/>
        </w:rPr>
        <w:t>25.3%</w:t>
      </w:r>
      <w:r>
        <w:rPr>
          <w:rFonts w:hint="eastAsia" w:ascii="宋体" w:hAnsi="宋体"/>
        </w:rPr>
        <w:t>，为预算的</w:t>
      </w:r>
      <w:r>
        <w:rPr>
          <w:rFonts w:ascii="宋体" w:hAnsi="宋体"/>
        </w:rPr>
        <w:t>97.1%</w:t>
      </w:r>
      <w:r>
        <w:rPr>
          <w:rFonts w:hint="eastAsia" w:ascii="宋体" w:hAnsi="宋体"/>
        </w:rPr>
        <w:t>，加上上解市级、补助镇级、调出资金、地方政府债务还本和结转下年等，支出总计</w:t>
      </w:r>
      <w:r>
        <w:rPr>
          <w:rFonts w:ascii="宋体" w:hAnsi="宋体"/>
        </w:rPr>
        <w:t>119.32</w:t>
      </w:r>
      <w:r>
        <w:rPr>
          <w:rFonts w:hint="eastAsia" w:ascii="宋体" w:hAnsi="宋体"/>
        </w:rPr>
        <w:t>亿元。</w:t>
      </w:r>
    </w:p>
    <w:p>
      <w:pPr>
        <w:spacing w:line="579" w:lineRule="exact"/>
        <w:ind w:firstLine="640" w:firstLineChars="200"/>
        <w:rPr>
          <w:rFonts w:ascii="宋体" w:hAnsi="宋体" w:eastAsia="方正黑体_GBK"/>
        </w:rPr>
      </w:pPr>
      <w:r>
        <w:rPr>
          <w:rFonts w:hint="eastAsia" w:ascii="宋体" w:hAnsi="宋体"/>
        </w:rPr>
        <w:t>与</w:t>
      </w:r>
      <w:r>
        <w:rPr>
          <w:rFonts w:ascii="宋体" w:hAnsi="宋体"/>
        </w:rPr>
        <w:t>2020</w:t>
      </w:r>
      <w:r>
        <w:rPr>
          <w:rFonts w:hint="eastAsia" w:ascii="宋体" w:hAnsi="宋体"/>
        </w:rPr>
        <w:t>年调整预算相比，区级政府性基金预算收入决算数总计增加</w:t>
      </w:r>
      <w:r>
        <w:rPr>
          <w:rFonts w:ascii="宋体" w:hAnsi="宋体"/>
        </w:rPr>
        <w:t>1.58</w:t>
      </w:r>
      <w:r>
        <w:rPr>
          <w:rFonts w:hint="eastAsia" w:ascii="宋体" w:hAnsi="宋体"/>
        </w:rPr>
        <w:t>亿元，其中：本级收入超收</w:t>
      </w:r>
      <w:r>
        <w:rPr>
          <w:rFonts w:ascii="宋体" w:hAnsi="宋体"/>
        </w:rPr>
        <w:t>0.27</w:t>
      </w:r>
      <w:r>
        <w:rPr>
          <w:rFonts w:hint="eastAsia" w:ascii="宋体" w:hAnsi="宋体"/>
        </w:rPr>
        <w:t>亿元、上级补助收入增加</w:t>
      </w:r>
      <w:r>
        <w:rPr>
          <w:rFonts w:ascii="宋体" w:hAnsi="宋体"/>
        </w:rPr>
        <w:t>0.93</w:t>
      </w:r>
      <w:r>
        <w:rPr>
          <w:rFonts w:hint="eastAsia" w:ascii="宋体" w:hAnsi="宋体"/>
        </w:rPr>
        <w:t>亿元，调入资金增加</w:t>
      </w:r>
      <w:r>
        <w:rPr>
          <w:rFonts w:ascii="宋体" w:hAnsi="宋体"/>
        </w:rPr>
        <w:t>0.38</w:t>
      </w:r>
      <w:r>
        <w:rPr>
          <w:rFonts w:hint="eastAsia" w:ascii="宋体" w:hAnsi="宋体"/>
        </w:rPr>
        <w:t>亿元。支出决算数总计增加</w:t>
      </w:r>
      <w:r>
        <w:rPr>
          <w:rFonts w:ascii="宋体" w:hAnsi="宋体"/>
        </w:rPr>
        <w:t>1.58</w:t>
      </w:r>
      <w:r>
        <w:rPr>
          <w:rFonts w:hint="eastAsia" w:ascii="宋体" w:hAnsi="宋体"/>
        </w:rPr>
        <w:t>亿元，其中：本级支出减少</w:t>
      </w:r>
      <w:r>
        <w:rPr>
          <w:rFonts w:ascii="宋体" w:hAnsi="宋体"/>
        </w:rPr>
        <w:t>2.55</w:t>
      </w:r>
      <w:r>
        <w:rPr>
          <w:rFonts w:hint="eastAsia" w:ascii="宋体" w:hAnsi="宋体"/>
        </w:rPr>
        <w:t>亿元、结算补助镇级支出增加</w:t>
      </w:r>
      <w:r>
        <w:rPr>
          <w:rFonts w:ascii="宋体" w:hAnsi="宋体"/>
        </w:rPr>
        <w:t>0.27</w:t>
      </w:r>
      <w:r>
        <w:rPr>
          <w:rFonts w:hint="eastAsia" w:ascii="宋体" w:hAnsi="宋体"/>
        </w:rPr>
        <w:t>亿元；结算上解市级支出减少</w:t>
      </w:r>
      <w:r>
        <w:rPr>
          <w:rFonts w:ascii="宋体" w:hAnsi="宋体"/>
        </w:rPr>
        <w:t>0.05</w:t>
      </w:r>
      <w:r>
        <w:rPr>
          <w:rFonts w:hint="eastAsia" w:ascii="宋体" w:hAnsi="宋体"/>
        </w:rPr>
        <w:t>亿元、调出资金增加</w:t>
      </w:r>
      <w:r>
        <w:rPr>
          <w:rFonts w:ascii="宋体" w:hAnsi="宋体"/>
        </w:rPr>
        <w:t>0.40</w:t>
      </w:r>
      <w:r>
        <w:rPr>
          <w:rFonts w:hint="eastAsia" w:ascii="宋体" w:hAnsi="宋体"/>
        </w:rPr>
        <w:t>亿元、结转下年增加</w:t>
      </w:r>
      <w:r>
        <w:rPr>
          <w:rFonts w:ascii="宋体" w:hAnsi="宋体"/>
        </w:rPr>
        <w:t>3.51</w:t>
      </w:r>
      <w:r>
        <w:rPr>
          <w:rFonts w:hint="eastAsia" w:ascii="宋体" w:hAnsi="宋体"/>
        </w:rPr>
        <w:t>亿元（</w:t>
      </w:r>
      <w:r>
        <w:rPr>
          <w:rFonts w:hint="eastAsia" w:ascii="宋体" w:hAnsi="宋体"/>
          <w:kern w:val="0"/>
          <w:szCs w:val="32"/>
        </w:rPr>
        <w:t>国有土地使用权出让收入结转下年</w:t>
      </w:r>
      <w:r>
        <w:rPr>
          <w:rFonts w:ascii="宋体" w:hAnsi="宋体"/>
          <w:szCs w:val="32"/>
        </w:rPr>
        <w:t>3.24</w:t>
      </w:r>
      <w:r>
        <w:rPr>
          <w:rFonts w:hint="eastAsia" w:ascii="宋体" w:hAnsi="宋体"/>
          <w:szCs w:val="32"/>
        </w:rPr>
        <w:t>亿元</w:t>
      </w:r>
      <w:r>
        <w:rPr>
          <w:rFonts w:hint="eastAsia" w:ascii="宋体" w:hAnsi="宋体"/>
          <w:kern w:val="0"/>
          <w:szCs w:val="32"/>
        </w:rPr>
        <w:t>、国有土地收益基金结转下年</w:t>
      </w:r>
      <w:r>
        <w:rPr>
          <w:rFonts w:ascii="宋体" w:hAnsi="宋体"/>
          <w:kern w:val="0"/>
          <w:szCs w:val="32"/>
        </w:rPr>
        <w:t>0.02</w:t>
      </w:r>
      <w:r>
        <w:rPr>
          <w:rFonts w:hint="eastAsia" w:ascii="宋体" w:hAnsi="宋体"/>
          <w:kern w:val="0"/>
          <w:szCs w:val="32"/>
        </w:rPr>
        <w:t>亿元、农业土地开发资金结转下年</w:t>
      </w:r>
      <w:r>
        <w:rPr>
          <w:rFonts w:ascii="宋体" w:hAnsi="宋体"/>
          <w:kern w:val="0"/>
          <w:szCs w:val="32"/>
        </w:rPr>
        <w:t>0.09</w:t>
      </w:r>
      <w:r>
        <w:rPr>
          <w:rFonts w:hint="eastAsia" w:ascii="宋体" w:hAnsi="宋体"/>
          <w:kern w:val="0"/>
          <w:szCs w:val="32"/>
        </w:rPr>
        <w:t>亿元、</w:t>
      </w:r>
      <w:r>
        <w:rPr>
          <w:rFonts w:hint="eastAsia" w:ascii="宋体" w:hAnsi="宋体"/>
          <w:szCs w:val="32"/>
        </w:rPr>
        <w:t>城市基础设施配套费收入</w:t>
      </w:r>
      <w:r>
        <w:rPr>
          <w:rFonts w:hint="eastAsia" w:ascii="宋体" w:hAnsi="宋体"/>
          <w:kern w:val="0"/>
          <w:szCs w:val="32"/>
        </w:rPr>
        <w:t>超收结转下年</w:t>
      </w:r>
      <w:r>
        <w:rPr>
          <w:rFonts w:ascii="宋体" w:hAnsi="宋体"/>
          <w:szCs w:val="32"/>
        </w:rPr>
        <w:t>0.15</w:t>
      </w:r>
      <w:r>
        <w:rPr>
          <w:rFonts w:hint="eastAsia" w:ascii="宋体" w:hAnsi="宋体"/>
          <w:szCs w:val="32"/>
        </w:rPr>
        <w:t>亿元</w:t>
      </w:r>
      <w:r>
        <w:rPr>
          <w:rFonts w:hint="eastAsia" w:ascii="宋体" w:hAnsi="宋体"/>
          <w:kern w:val="0"/>
          <w:szCs w:val="32"/>
        </w:rPr>
        <w:t>、</w:t>
      </w:r>
      <w:r>
        <w:rPr>
          <w:rFonts w:hint="eastAsia" w:ascii="宋体" w:hAnsi="宋体"/>
          <w:szCs w:val="32"/>
        </w:rPr>
        <w:t>三峡后续规划地质灾害防治资金</w:t>
      </w:r>
      <w:r>
        <w:rPr>
          <w:rFonts w:ascii="宋体" w:hAnsi="宋体"/>
          <w:szCs w:val="32"/>
        </w:rPr>
        <w:t>0.01</w:t>
      </w:r>
      <w:r>
        <w:rPr>
          <w:rFonts w:hint="eastAsia" w:ascii="宋体" w:hAnsi="宋体"/>
          <w:szCs w:val="32"/>
        </w:rPr>
        <w:t>亿元</w:t>
      </w:r>
      <w:r>
        <w:rPr>
          <w:rFonts w:hint="eastAsia" w:ascii="宋体" w:hAnsi="宋体"/>
        </w:rPr>
        <w:t>）</w:t>
      </w:r>
    </w:p>
    <w:p>
      <w:pPr>
        <w:spacing w:line="579" w:lineRule="exact"/>
        <w:rPr>
          <w:rFonts w:ascii="宋体" w:hAnsi="宋体" w:eastAsia="方正黑体_GBK"/>
        </w:rPr>
      </w:pPr>
    </w:p>
    <w:p>
      <w:pPr>
        <w:spacing w:line="579" w:lineRule="exact"/>
        <w:jc w:val="center"/>
        <w:rPr>
          <w:rFonts w:ascii="宋体" w:hAnsi="宋体" w:eastAsia="方正黑体_GBK"/>
        </w:rPr>
      </w:pPr>
      <w:r>
        <w:rPr>
          <w:rFonts w:ascii="宋体" w:hAnsi="宋体" w:eastAsia="方正黑体_GBK"/>
        </w:rPr>
        <w:t>2020</w:t>
      </w:r>
      <w:r>
        <w:rPr>
          <w:rFonts w:hint="eastAsia" w:ascii="宋体" w:hAnsi="宋体" w:eastAsia="方正黑体_GBK"/>
        </w:rPr>
        <w:t>年区级政府性基金预算收支预决算差异表</w:t>
      </w:r>
    </w:p>
    <w:p>
      <w:pPr>
        <w:snapToGrid w:val="0"/>
        <w:spacing w:line="579" w:lineRule="exact"/>
        <w:ind w:firstLine="6860" w:firstLineChars="2450"/>
        <w:rPr>
          <w:rFonts w:ascii="宋体" w:eastAsia="宋体"/>
          <w:color w:val="0000FF"/>
          <w:sz w:val="28"/>
          <w:szCs w:val="28"/>
        </w:rPr>
      </w:pPr>
      <w:r>
        <w:rPr>
          <w:rFonts w:hint="eastAsia" w:ascii="宋体" w:hAnsi="宋体"/>
          <w:sz w:val="28"/>
          <w:szCs w:val="28"/>
        </w:rPr>
        <w:t>单位：亿元</w:t>
      </w:r>
    </w:p>
    <w:tbl>
      <w:tblPr>
        <w:tblStyle w:val="9"/>
        <w:tblW w:w="942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6"/>
        <w:gridCol w:w="985"/>
        <w:gridCol w:w="985"/>
        <w:gridCol w:w="985"/>
        <w:gridCol w:w="1770"/>
        <w:gridCol w:w="1015"/>
        <w:gridCol w:w="935"/>
        <w:gridCol w:w="96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5"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收入</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85" w:type="dxa"/>
            <w:tcBorders>
              <w:top w:val="single" w:color="auto" w:sz="4" w:space="0"/>
              <w:left w:val="single" w:color="auto" w:sz="4" w:space="0"/>
              <w:bottom w:val="single" w:color="auto" w:sz="4" w:space="0"/>
              <w:right w:val="single" w:color="auto" w:sz="4" w:space="0"/>
            </w:tcBorders>
          </w:tcPr>
          <w:p>
            <w:pPr>
              <w:widowControl/>
              <w:overflowPunct w:val="0"/>
              <w:spacing w:line="300" w:lineRule="exact"/>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66" w:type="dxa"/>
            <w:tcBorders>
              <w:top w:val="single" w:color="auto" w:sz="4" w:space="0"/>
              <w:left w:val="single" w:color="auto" w:sz="4" w:space="0"/>
              <w:bottom w:val="single" w:color="auto" w:sz="4" w:space="0"/>
            </w:tcBorders>
          </w:tcPr>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300"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5"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117.74</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119.32</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1.58</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117.74</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119.32</w:t>
            </w:r>
          </w:p>
        </w:tc>
        <w:tc>
          <w:tcPr>
            <w:tcW w:w="966" w:type="dxa"/>
            <w:tcBorders>
              <w:top w:val="single" w:color="auto" w:sz="4" w:space="0"/>
              <w:left w:val="single" w:color="auto" w:sz="4" w:space="0"/>
              <w:bottom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1.58</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2"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一、本级收入</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74</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74.27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0.27</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87.42</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84.87</w:t>
            </w:r>
          </w:p>
        </w:tc>
        <w:tc>
          <w:tcPr>
            <w:tcW w:w="966" w:type="dxa"/>
            <w:tcBorders>
              <w:top w:val="single" w:color="auto" w:sz="4" w:space="0"/>
              <w:left w:val="single" w:color="auto" w:sz="4" w:space="0"/>
              <w:bottom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-2.55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0"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二、转移性收入</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43.74</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45.05</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1.31</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二、转移性支出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30.32</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34.45</w:t>
            </w:r>
          </w:p>
        </w:tc>
        <w:tc>
          <w:tcPr>
            <w:tcW w:w="966" w:type="dxa"/>
            <w:tcBorders>
              <w:top w:val="single" w:color="auto" w:sz="4" w:space="0"/>
              <w:left w:val="single" w:color="auto" w:sz="4" w:space="0"/>
              <w:bottom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4.13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上级补助收入</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5.7</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6.63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0.93</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补助下级支出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0.27</w:t>
            </w:r>
          </w:p>
        </w:tc>
        <w:tc>
          <w:tcPr>
            <w:tcW w:w="966" w:type="dxa"/>
            <w:tcBorders>
              <w:top w:val="single" w:color="auto" w:sz="4" w:space="0"/>
              <w:left w:val="single" w:color="auto" w:sz="4" w:space="0"/>
              <w:bottom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0.27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2"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地方政府债券转贷收入</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36.43</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36.43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上解上级支出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2.4</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2.35</w:t>
            </w:r>
          </w:p>
        </w:tc>
        <w:tc>
          <w:tcPr>
            <w:tcW w:w="966" w:type="dxa"/>
            <w:tcBorders>
              <w:top w:val="single" w:color="auto" w:sz="4" w:space="0"/>
              <w:left w:val="single" w:color="auto" w:sz="4" w:space="0"/>
              <w:bottom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-0.05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4"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调入资金</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0.38</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0.38</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调出资金</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17.99</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18.39</w:t>
            </w:r>
          </w:p>
        </w:tc>
        <w:tc>
          <w:tcPr>
            <w:tcW w:w="966" w:type="dxa"/>
            <w:tcBorders>
              <w:top w:val="single" w:color="auto" w:sz="4" w:space="0"/>
              <w:left w:val="single" w:color="auto" w:sz="4" w:space="0"/>
              <w:bottom w:val="single" w:color="auto" w:sz="4" w:space="0"/>
            </w:tcBorders>
            <w:vAlign w:val="center"/>
          </w:tcPr>
          <w:p>
            <w:pPr>
              <w:widowControl/>
              <w:wordWrap w:val="0"/>
              <w:overflowPunct w:val="0"/>
              <w:spacing w:line="579" w:lineRule="exact"/>
              <w:jc w:val="right"/>
              <w:rPr>
                <w:rFonts w:ascii="宋体" w:eastAsia="宋体"/>
                <w:kern w:val="0"/>
                <w:sz w:val="24"/>
                <w:szCs w:val="24"/>
              </w:rPr>
            </w:pPr>
            <w:r>
              <w:rPr>
                <w:rFonts w:ascii="宋体" w:hAnsi="宋体"/>
                <w:kern w:val="0"/>
                <w:sz w:val="24"/>
                <w:szCs w:val="24"/>
              </w:rPr>
              <w:t>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6" w:hRule="atLeast"/>
          <w:jc w:val="center"/>
        </w:trPr>
        <w:tc>
          <w:tcPr>
            <w:tcW w:w="1786" w:type="dxa"/>
            <w:tcBorders>
              <w:top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上年结余</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1.61</w:t>
            </w: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1.61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left"/>
              <w:rPr>
                <w:rFonts w:ascii="宋体" w:eastAsia="宋体"/>
                <w:kern w:val="0"/>
                <w:sz w:val="24"/>
                <w:szCs w:val="24"/>
              </w:rPr>
            </w:pPr>
            <w:r>
              <w:rPr>
                <w:rFonts w:hint="eastAsia" w:ascii="宋体" w:hAnsi="宋体"/>
                <w:kern w:val="0"/>
                <w:sz w:val="24"/>
                <w:szCs w:val="24"/>
              </w:rPr>
              <w:t>地方政府债务还本支出</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9.93</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300" w:lineRule="exact"/>
              <w:jc w:val="right"/>
              <w:rPr>
                <w:rFonts w:ascii="宋体" w:eastAsia="宋体"/>
                <w:kern w:val="0"/>
                <w:sz w:val="24"/>
                <w:szCs w:val="24"/>
              </w:rPr>
            </w:pPr>
            <w:r>
              <w:rPr>
                <w:rFonts w:ascii="宋体" w:hAnsi="宋体"/>
                <w:kern w:val="0"/>
                <w:sz w:val="24"/>
                <w:szCs w:val="24"/>
              </w:rPr>
              <w:t>9.93</w:t>
            </w:r>
          </w:p>
        </w:tc>
        <w:tc>
          <w:tcPr>
            <w:tcW w:w="966" w:type="dxa"/>
            <w:tcBorders>
              <w:top w:val="single" w:color="auto" w:sz="4" w:space="0"/>
              <w:left w:val="single" w:color="auto" w:sz="4" w:space="0"/>
              <w:bottom w:val="single" w:color="auto" w:sz="4" w:space="0"/>
            </w:tcBorders>
            <w:vAlign w:val="center"/>
          </w:tcPr>
          <w:p>
            <w:pPr>
              <w:widowControl/>
              <w:overflowPunct w:val="0"/>
              <w:spacing w:line="300" w:lineRule="exact"/>
              <w:jc w:val="right"/>
              <w:rPr>
                <w:rFonts w:ascii="宋体" w:eastAsia="宋体"/>
                <w:kern w:val="0"/>
                <w:sz w:val="24"/>
                <w:szCs w:val="24"/>
              </w:rPr>
            </w:pPr>
            <w:r>
              <w:rPr>
                <w:rFonts w:ascii="宋体" w:eastAsia="宋体"/>
                <w:kern w:val="0"/>
                <w:sz w:val="24"/>
                <w:szCs w:val="24"/>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7" w:hRule="atLeast"/>
          <w:jc w:val="center"/>
        </w:trPr>
        <w:tc>
          <w:tcPr>
            <w:tcW w:w="1786" w:type="dxa"/>
            <w:tcBorders>
              <w:top w:val="single" w:color="auto" w:sz="4" w:space="0"/>
              <w:bottom w:val="single" w:color="auto" w:sz="4" w:space="0"/>
              <w:right w:val="single" w:color="auto" w:sz="4" w:space="0"/>
            </w:tcBorders>
            <w:noWrap/>
            <w:vAlign w:val="bottom"/>
          </w:tcPr>
          <w:p>
            <w:pPr>
              <w:widowControl/>
              <w:overflowPunct w:val="0"/>
              <w:spacing w:line="579" w:lineRule="exact"/>
              <w:jc w:val="left"/>
              <w:rPr>
                <w:rFonts w:ascii="宋体" w:eastAsia="宋体"/>
                <w:kern w:val="0"/>
                <w:sz w:val="24"/>
                <w:szCs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579" w:lineRule="exact"/>
              <w:jc w:val="right"/>
              <w:rPr>
                <w:rFonts w:ascii="宋体" w:eastAsia="宋体"/>
                <w:kern w:val="0"/>
                <w:sz w:val="24"/>
                <w:szCs w:val="24"/>
              </w:rPr>
            </w:pPr>
          </w:p>
        </w:tc>
        <w:tc>
          <w:tcPr>
            <w:tcW w:w="1770"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结转下年</w:t>
            </w:r>
          </w:p>
        </w:tc>
        <w:tc>
          <w:tcPr>
            <w:tcW w:w="101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935"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3.51</w:t>
            </w:r>
          </w:p>
        </w:tc>
        <w:tc>
          <w:tcPr>
            <w:tcW w:w="966" w:type="dxa"/>
            <w:tcBorders>
              <w:top w:val="single" w:color="auto" w:sz="4" w:space="0"/>
              <w:left w:val="single" w:color="auto" w:sz="4" w:space="0"/>
              <w:bottom w:val="single" w:color="auto" w:sz="4" w:space="0"/>
            </w:tcBorders>
            <w:vAlign w:val="center"/>
          </w:tcPr>
          <w:p>
            <w:pPr>
              <w:widowControl/>
              <w:overflowPunct w:val="0"/>
              <w:spacing w:line="579" w:lineRule="exact"/>
              <w:jc w:val="right"/>
              <w:rPr>
                <w:rFonts w:ascii="宋体" w:eastAsia="宋体"/>
                <w:kern w:val="0"/>
                <w:sz w:val="24"/>
                <w:szCs w:val="24"/>
              </w:rPr>
            </w:pPr>
            <w:r>
              <w:rPr>
                <w:rFonts w:ascii="宋体" w:hAnsi="宋体"/>
                <w:kern w:val="0"/>
                <w:sz w:val="24"/>
                <w:szCs w:val="24"/>
              </w:rPr>
              <w:t>3.51</w:t>
            </w:r>
          </w:p>
        </w:tc>
      </w:tr>
    </w:tbl>
    <w:p>
      <w:pPr>
        <w:spacing w:line="579" w:lineRule="exact"/>
        <w:ind w:firstLine="640" w:firstLineChars="200"/>
        <w:rPr>
          <w:rFonts w:ascii="宋体" w:eastAsia="宋体"/>
        </w:rPr>
      </w:pPr>
      <w:r>
        <w:rPr>
          <w:rFonts w:ascii="宋体" w:hAnsi="宋体"/>
          <w:color w:val="0000FF"/>
        </w:rPr>
        <w:t xml:space="preserve"> </w:t>
      </w:r>
      <w:r>
        <w:rPr>
          <w:rFonts w:ascii="宋体" w:hAnsi="宋体"/>
        </w:rPr>
        <w:t>3</w:t>
      </w:r>
      <w:r>
        <w:rPr>
          <w:rFonts w:hint="eastAsia" w:ascii="宋体" w:hAnsi="宋体"/>
        </w:rPr>
        <w:t>．国有资本经营预算</w:t>
      </w:r>
    </w:p>
    <w:p>
      <w:pPr>
        <w:overflowPunct w:val="0"/>
        <w:autoSpaceDN w:val="0"/>
        <w:spacing w:line="579" w:lineRule="exact"/>
        <w:ind w:firstLine="640" w:firstLineChars="200"/>
        <w:rPr>
          <w:rFonts w:ascii="宋体" w:hAnsi="方正仿宋_GBK" w:cs="方正仿宋_GBK"/>
          <w:szCs w:val="32"/>
        </w:rPr>
      </w:pPr>
      <w:r>
        <w:rPr>
          <w:rFonts w:hint="eastAsia" w:ascii="宋体" w:hAnsi="方正仿宋_GBK" w:cs="方正仿宋_GBK"/>
          <w:szCs w:val="32"/>
        </w:rPr>
        <w:t>区级国有资本经营预算收入</w:t>
      </w:r>
      <w:r>
        <w:rPr>
          <w:rFonts w:ascii="宋体" w:hAnsi="宋体" w:cs="宋体"/>
          <w:szCs w:val="32"/>
        </w:rPr>
        <w:t>4229</w:t>
      </w:r>
      <w:r>
        <w:rPr>
          <w:rFonts w:hint="eastAsia" w:ascii="宋体" w:hAnsi="方正仿宋_GBK" w:cs="方正仿宋_GBK"/>
          <w:szCs w:val="32"/>
        </w:rPr>
        <w:t>万元，下降</w:t>
      </w:r>
      <w:r>
        <w:rPr>
          <w:rFonts w:ascii="宋体" w:hAnsi="宋体" w:eastAsia="宋体" w:cs="宋体"/>
          <w:szCs w:val="32"/>
        </w:rPr>
        <w:t>40.3%</w:t>
      </w:r>
      <w:r>
        <w:rPr>
          <w:rFonts w:hint="eastAsia" w:ascii="宋体" w:hAnsi="方正仿宋_GBK" w:cs="方正仿宋_GBK"/>
          <w:szCs w:val="32"/>
        </w:rPr>
        <w:t>，为预算的</w:t>
      </w:r>
      <w:r>
        <w:rPr>
          <w:rFonts w:ascii="宋体" w:hAnsi="宋体" w:eastAsia="宋体" w:cs="宋体"/>
          <w:szCs w:val="32"/>
        </w:rPr>
        <w:t>100.0%</w:t>
      </w:r>
      <w:r>
        <w:rPr>
          <w:rFonts w:hint="eastAsia" w:ascii="宋体" w:hAnsi="方正仿宋_GBK" w:cs="方正仿宋_GBK"/>
          <w:szCs w:val="32"/>
        </w:rPr>
        <w:t>，其中：区属国有企业利润</w:t>
      </w:r>
      <w:r>
        <w:rPr>
          <w:rFonts w:ascii="宋体" w:hAnsi="宋体" w:eastAsia="宋体" w:cs="宋体"/>
          <w:szCs w:val="32"/>
        </w:rPr>
        <w:t>3893</w:t>
      </w:r>
      <w:r>
        <w:rPr>
          <w:rFonts w:hint="eastAsia" w:ascii="宋体" w:hAnsi="方正仿宋_GBK" w:cs="方正仿宋_GBK"/>
          <w:szCs w:val="32"/>
        </w:rPr>
        <w:t>万元，国有资本参股企业股利、股息收入</w:t>
      </w:r>
      <w:r>
        <w:rPr>
          <w:rFonts w:ascii="宋体" w:hAnsi="宋体" w:eastAsia="宋体" w:cs="宋体"/>
          <w:szCs w:val="32"/>
        </w:rPr>
        <w:t>336</w:t>
      </w:r>
      <w:r>
        <w:rPr>
          <w:rFonts w:hint="eastAsia" w:ascii="宋体" w:hAnsi="方正仿宋_GBK" w:cs="方正仿宋_GBK"/>
          <w:szCs w:val="32"/>
        </w:rPr>
        <w:t>万元；加上上年结转</w:t>
      </w:r>
      <w:r>
        <w:rPr>
          <w:rFonts w:ascii="宋体" w:hAnsi="宋体" w:eastAsia="宋体" w:cs="宋体"/>
          <w:szCs w:val="32"/>
        </w:rPr>
        <w:t>998</w:t>
      </w:r>
      <w:r>
        <w:rPr>
          <w:rFonts w:hint="eastAsia" w:ascii="宋体" w:hAnsi="方正仿宋_GBK" w:cs="方正仿宋_GBK"/>
          <w:szCs w:val="32"/>
        </w:rPr>
        <w:t>万元，收入总计</w:t>
      </w:r>
      <w:r>
        <w:rPr>
          <w:rFonts w:ascii="宋体" w:hAnsi="宋体" w:eastAsia="宋体" w:cs="宋体"/>
          <w:szCs w:val="32"/>
        </w:rPr>
        <w:t>5227</w:t>
      </w:r>
      <w:r>
        <w:rPr>
          <w:rFonts w:hint="eastAsia" w:ascii="宋体" w:hAnsi="方正仿宋_GBK" w:cs="方正仿宋_GBK"/>
          <w:szCs w:val="32"/>
        </w:rPr>
        <w:t>万元。区级国有资本经营预算支出</w:t>
      </w:r>
      <w:r>
        <w:rPr>
          <w:rFonts w:ascii="宋体" w:hAnsi="宋体" w:eastAsia="宋体" w:cs="宋体"/>
          <w:szCs w:val="32"/>
        </w:rPr>
        <w:t>579</w:t>
      </w:r>
      <w:r>
        <w:rPr>
          <w:rFonts w:hint="eastAsia" w:ascii="宋体" w:hAnsi="方正仿宋_GBK" w:cs="方正仿宋_GBK"/>
          <w:szCs w:val="32"/>
        </w:rPr>
        <w:t>万元，下降</w:t>
      </w:r>
      <w:r>
        <w:rPr>
          <w:rFonts w:ascii="宋体" w:hAnsi="宋体" w:eastAsia="宋体" w:cs="宋体"/>
          <w:szCs w:val="32"/>
        </w:rPr>
        <w:t>43.8%</w:t>
      </w:r>
      <w:r>
        <w:rPr>
          <w:rFonts w:hint="eastAsia" w:ascii="宋体" w:hAnsi="方正仿宋_GBK" w:cs="方正仿宋_GBK"/>
          <w:szCs w:val="32"/>
        </w:rPr>
        <w:t>，为预算的</w:t>
      </w:r>
      <w:r>
        <w:rPr>
          <w:rFonts w:ascii="宋体" w:hAnsi="宋体" w:eastAsia="宋体" w:cs="宋体"/>
          <w:szCs w:val="32"/>
        </w:rPr>
        <w:t>100.0%</w:t>
      </w:r>
      <w:r>
        <w:rPr>
          <w:rFonts w:hint="eastAsia" w:ascii="宋体" w:hAnsi="方正仿宋_GBK" w:cs="方正仿宋_GBK"/>
          <w:szCs w:val="32"/>
        </w:rPr>
        <w:t>，其中：其他国有企业资本金注入</w:t>
      </w:r>
      <w:r>
        <w:rPr>
          <w:rFonts w:ascii="宋体" w:hAnsi="宋体" w:eastAsia="宋体" w:cs="宋体"/>
          <w:szCs w:val="32"/>
        </w:rPr>
        <w:t>360</w:t>
      </w:r>
      <w:r>
        <w:rPr>
          <w:rFonts w:hint="eastAsia" w:ascii="宋体" w:hAnsi="方正仿宋_GBK" w:cs="方正仿宋_GBK"/>
          <w:szCs w:val="32"/>
        </w:rPr>
        <w:t>万元，其他国有资本经营预算支出</w:t>
      </w:r>
      <w:r>
        <w:rPr>
          <w:rFonts w:ascii="宋体" w:hAnsi="宋体" w:eastAsia="宋体" w:cs="宋体"/>
          <w:szCs w:val="32"/>
        </w:rPr>
        <w:t>219</w:t>
      </w:r>
      <w:r>
        <w:rPr>
          <w:rFonts w:hint="eastAsia" w:ascii="宋体" w:hAnsi="方正仿宋_GBK" w:cs="方正仿宋_GBK"/>
          <w:szCs w:val="32"/>
        </w:rPr>
        <w:t>万元；主要用于加油站油罐池防渗漏改造补助、污水处理厂技改补助、捐款补助等；加上调出资金</w:t>
      </w:r>
      <w:r>
        <w:rPr>
          <w:rFonts w:ascii="宋体" w:hAnsi="宋体" w:eastAsia="宋体" w:cs="宋体"/>
          <w:szCs w:val="32"/>
        </w:rPr>
        <w:t>4648</w:t>
      </w:r>
      <w:r>
        <w:rPr>
          <w:rFonts w:hint="eastAsia" w:ascii="宋体" w:hAnsi="方正仿宋_GBK" w:cs="方正仿宋_GBK"/>
          <w:szCs w:val="32"/>
        </w:rPr>
        <w:t>万元，支出总计</w:t>
      </w:r>
      <w:r>
        <w:rPr>
          <w:rFonts w:ascii="宋体" w:hAnsi="宋体" w:cs="宋体"/>
          <w:szCs w:val="32"/>
        </w:rPr>
        <w:t>5227</w:t>
      </w:r>
      <w:r>
        <w:rPr>
          <w:rFonts w:hint="eastAsia" w:ascii="宋体" w:hAnsi="方正仿宋_GBK" w:cs="方正仿宋_GBK"/>
          <w:szCs w:val="32"/>
        </w:rPr>
        <w:t>万元。</w:t>
      </w:r>
    </w:p>
    <w:p>
      <w:pPr>
        <w:spacing w:line="579" w:lineRule="exact"/>
        <w:jc w:val="center"/>
        <w:rPr>
          <w:rFonts w:ascii="宋体" w:hAnsi="宋体" w:eastAsia="方正黑体_GBK"/>
        </w:rPr>
      </w:pPr>
      <w:r>
        <w:rPr>
          <w:rFonts w:ascii="宋体" w:hAnsi="宋体" w:eastAsia="方正黑体_GBK"/>
        </w:rPr>
        <w:t>2020</w:t>
      </w:r>
      <w:r>
        <w:rPr>
          <w:rFonts w:hint="eastAsia" w:ascii="宋体" w:hAnsi="宋体" w:eastAsia="方正黑体_GBK"/>
        </w:rPr>
        <w:t>年区级国有资本经营预算收支预决算差异表</w:t>
      </w:r>
    </w:p>
    <w:p>
      <w:pPr>
        <w:spacing w:line="579" w:lineRule="exact"/>
        <w:ind w:firstLine="7420" w:firstLineChars="2650"/>
        <w:rPr>
          <w:rFonts w:ascii="宋体" w:eastAsia="宋体"/>
          <w:sz w:val="28"/>
          <w:szCs w:val="28"/>
        </w:rPr>
      </w:pPr>
      <w:r>
        <w:rPr>
          <w:rFonts w:hint="eastAsia" w:ascii="宋体" w:hAnsi="宋体"/>
          <w:sz w:val="28"/>
          <w:szCs w:val="28"/>
        </w:rPr>
        <w:t>单位：万元</w:t>
      </w:r>
    </w:p>
    <w:tbl>
      <w:tblPr>
        <w:tblStyle w:val="9"/>
        <w:tblW w:w="919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70"/>
        <w:gridCol w:w="939"/>
        <w:gridCol w:w="938"/>
        <w:gridCol w:w="938"/>
        <w:gridCol w:w="1794"/>
        <w:gridCol w:w="938"/>
        <w:gridCol w:w="938"/>
        <w:gridCol w:w="9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0" w:type="dxa"/>
            <w:tcBorders>
              <w:top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收入</w:t>
            </w:r>
          </w:p>
        </w:tc>
        <w:tc>
          <w:tcPr>
            <w:tcW w:w="939"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38"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38" w:type="dxa"/>
            <w:tcBorders>
              <w:top w:val="single" w:color="auto" w:sz="4" w:space="0"/>
              <w:left w:val="single" w:color="auto" w:sz="4" w:space="0"/>
              <w:bottom w:val="single" w:color="auto" w:sz="4" w:space="0"/>
              <w:right w:val="single" w:color="auto" w:sz="4" w:space="0"/>
            </w:tcBorders>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c>
          <w:tcPr>
            <w:tcW w:w="1794"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支出</w:t>
            </w:r>
          </w:p>
        </w:tc>
        <w:tc>
          <w:tcPr>
            <w:tcW w:w="938"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调整</w:t>
            </w:r>
          </w:p>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预算数</w:t>
            </w:r>
          </w:p>
        </w:tc>
        <w:tc>
          <w:tcPr>
            <w:tcW w:w="938" w:type="dxa"/>
            <w:tcBorders>
              <w:top w:val="single" w:color="auto" w:sz="4" w:space="0"/>
              <w:left w:val="single" w:color="auto" w:sz="4" w:space="0"/>
              <w:bottom w:val="single" w:color="auto" w:sz="4" w:space="0"/>
              <w:right w:val="single" w:color="auto" w:sz="4" w:space="0"/>
            </w:tcBorders>
            <w:noWrap/>
            <w:vAlign w:val="center"/>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决算数</w:t>
            </w:r>
          </w:p>
        </w:tc>
        <w:tc>
          <w:tcPr>
            <w:tcW w:w="938" w:type="dxa"/>
            <w:tcBorders>
              <w:top w:val="single" w:color="auto" w:sz="4" w:space="0"/>
              <w:left w:val="single" w:color="auto" w:sz="4" w:space="0"/>
              <w:bottom w:val="single" w:color="auto" w:sz="4" w:space="0"/>
            </w:tcBorders>
          </w:tcPr>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预决算</w:t>
            </w:r>
          </w:p>
          <w:p>
            <w:pPr>
              <w:widowControl/>
              <w:overflowPunct w:val="0"/>
              <w:spacing w:line="579" w:lineRule="exact"/>
              <w:jc w:val="center"/>
              <w:rPr>
                <w:rFonts w:ascii="宋体" w:hAnsi="宋体" w:eastAsia="方正黑体_GBK"/>
                <w:kern w:val="0"/>
                <w:sz w:val="24"/>
                <w:szCs w:val="24"/>
              </w:rPr>
            </w:pPr>
            <w:r>
              <w:rPr>
                <w:rFonts w:hint="eastAsia" w:ascii="宋体" w:hAnsi="宋体" w:eastAsia="方正黑体_GBK"/>
                <w:kern w:val="0"/>
                <w:sz w:val="24"/>
                <w:szCs w:val="24"/>
              </w:rPr>
              <w:t>差异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0" w:type="dxa"/>
            <w:tcBorders>
              <w:top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939"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5227</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5227</w:t>
            </w:r>
          </w:p>
        </w:tc>
        <w:tc>
          <w:tcPr>
            <w:tcW w:w="938" w:type="dxa"/>
            <w:tcBorders>
              <w:top w:val="single" w:color="auto" w:sz="4" w:space="0"/>
              <w:left w:val="single" w:color="auto" w:sz="4" w:space="0"/>
              <w:bottom w:val="single" w:color="auto" w:sz="4" w:space="0"/>
              <w:right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1794"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总计</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5227</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5227</w:t>
            </w:r>
          </w:p>
        </w:tc>
        <w:tc>
          <w:tcPr>
            <w:tcW w:w="938" w:type="dxa"/>
            <w:tcBorders>
              <w:top w:val="single" w:color="auto" w:sz="4" w:space="0"/>
              <w:left w:val="single" w:color="auto" w:sz="4" w:space="0"/>
              <w:bottom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0" w:type="dxa"/>
            <w:tcBorders>
              <w:top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一、本级收入</w:t>
            </w:r>
          </w:p>
        </w:tc>
        <w:tc>
          <w:tcPr>
            <w:tcW w:w="939"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4229</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4229</w:t>
            </w:r>
          </w:p>
        </w:tc>
        <w:tc>
          <w:tcPr>
            <w:tcW w:w="938" w:type="dxa"/>
            <w:tcBorders>
              <w:top w:val="single" w:color="auto" w:sz="4" w:space="0"/>
              <w:left w:val="single" w:color="auto" w:sz="4" w:space="0"/>
              <w:bottom w:val="single" w:color="auto" w:sz="4" w:space="0"/>
              <w:right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1794"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一、本级支出</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579</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579</w:t>
            </w:r>
          </w:p>
        </w:tc>
        <w:tc>
          <w:tcPr>
            <w:tcW w:w="938" w:type="dxa"/>
            <w:tcBorders>
              <w:top w:val="single" w:color="auto" w:sz="4" w:space="0"/>
              <w:left w:val="single" w:color="auto" w:sz="4" w:space="0"/>
              <w:bottom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0" w:type="dxa"/>
            <w:tcBorders>
              <w:top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二、转移性收入</w:t>
            </w:r>
          </w:p>
        </w:tc>
        <w:tc>
          <w:tcPr>
            <w:tcW w:w="939"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998</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998</w:t>
            </w:r>
          </w:p>
        </w:tc>
        <w:tc>
          <w:tcPr>
            <w:tcW w:w="938" w:type="dxa"/>
            <w:tcBorders>
              <w:top w:val="single" w:color="auto" w:sz="4" w:space="0"/>
              <w:left w:val="single" w:color="auto" w:sz="4" w:space="0"/>
              <w:bottom w:val="single" w:color="auto" w:sz="4" w:space="0"/>
              <w:right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1794"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二、转移性支出</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4648</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4648</w:t>
            </w:r>
          </w:p>
        </w:tc>
        <w:tc>
          <w:tcPr>
            <w:tcW w:w="938" w:type="dxa"/>
            <w:tcBorders>
              <w:top w:val="single" w:color="auto" w:sz="4" w:space="0"/>
              <w:left w:val="single" w:color="auto" w:sz="4" w:space="0"/>
              <w:bottom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770" w:type="dxa"/>
            <w:tcBorders>
              <w:top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上年结转</w:t>
            </w:r>
          </w:p>
        </w:tc>
        <w:tc>
          <w:tcPr>
            <w:tcW w:w="939"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998</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998</w:t>
            </w:r>
          </w:p>
        </w:tc>
        <w:tc>
          <w:tcPr>
            <w:tcW w:w="938" w:type="dxa"/>
            <w:tcBorders>
              <w:top w:val="single" w:color="auto" w:sz="4" w:space="0"/>
              <w:left w:val="single" w:color="auto" w:sz="4" w:space="0"/>
              <w:bottom w:val="single" w:color="auto" w:sz="4" w:space="0"/>
              <w:right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c>
          <w:tcPr>
            <w:tcW w:w="1794"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left"/>
              <w:rPr>
                <w:rFonts w:ascii="宋体" w:eastAsia="宋体"/>
                <w:kern w:val="0"/>
                <w:sz w:val="24"/>
                <w:szCs w:val="24"/>
              </w:rPr>
            </w:pPr>
            <w:r>
              <w:rPr>
                <w:rFonts w:hint="eastAsia" w:ascii="宋体" w:hAnsi="宋体"/>
                <w:kern w:val="0"/>
                <w:sz w:val="24"/>
                <w:szCs w:val="24"/>
              </w:rPr>
              <w:t>调出资金</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4648</w:t>
            </w:r>
          </w:p>
        </w:tc>
        <w:tc>
          <w:tcPr>
            <w:tcW w:w="938" w:type="dxa"/>
            <w:tcBorders>
              <w:top w:val="single" w:color="auto" w:sz="4" w:space="0"/>
              <w:left w:val="single" w:color="auto" w:sz="4" w:space="0"/>
              <w:bottom w:val="single" w:color="auto" w:sz="4" w:space="0"/>
              <w:right w:val="single" w:color="auto" w:sz="4" w:space="0"/>
            </w:tcBorders>
            <w:noWrap/>
          </w:tcPr>
          <w:p>
            <w:pPr>
              <w:widowControl/>
              <w:overflowPunct w:val="0"/>
              <w:spacing w:line="579" w:lineRule="exact"/>
              <w:jc w:val="right"/>
              <w:rPr>
                <w:rFonts w:ascii="宋体" w:eastAsia="宋体"/>
                <w:kern w:val="0"/>
                <w:sz w:val="24"/>
                <w:szCs w:val="24"/>
              </w:rPr>
            </w:pPr>
            <w:r>
              <w:rPr>
                <w:rFonts w:ascii="宋体" w:hAnsi="宋体"/>
                <w:kern w:val="0"/>
                <w:sz w:val="24"/>
                <w:szCs w:val="24"/>
              </w:rPr>
              <w:t>4648</w:t>
            </w:r>
          </w:p>
        </w:tc>
        <w:tc>
          <w:tcPr>
            <w:tcW w:w="938" w:type="dxa"/>
            <w:tcBorders>
              <w:top w:val="single" w:color="auto" w:sz="4" w:space="0"/>
              <w:left w:val="single" w:color="auto" w:sz="4" w:space="0"/>
              <w:bottom w:val="single" w:color="auto" w:sz="4" w:space="0"/>
            </w:tcBorders>
          </w:tcPr>
          <w:p>
            <w:pPr>
              <w:widowControl/>
              <w:overflowPunct w:val="0"/>
              <w:spacing w:line="579" w:lineRule="exact"/>
              <w:jc w:val="right"/>
              <w:rPr>
                <w:rFonts w:ascii="宋体" w:eastAsia="宋体"/>
                <w:kern w:val="0"/>
                <w:sz w:val="24"/>
                <w:szCs w:val="24"/>
              </w:rPr>
            </w:pPr>
            <w:r>
              <w:rPr>
                <w:rFonts w:ascii="宋体" w:eastAsia="宋体"/>
                <w:kern w:val="0"/>
                <w:sz w:val="24"/>
                <w:szCs w:val="24"/>
              </w:rPr>
              <w:t>0</w:t>
            </w:r>
          </w:p>
        </w:tc>
      </w:tr>
    </w:tbl>
    <w:p>
      <w:pPr>
        <w:spacing w:line="579" w:lineRule="exact"/>
        <w:ind w:firstLine="640" w:firstLineChars="200"/>
        <w:rPr>
          <w:rFonts w:ascii="宋体" w:eastAsia="宋体"/>
        </w:rPr>
      </w:pPr>
      <w:r>
        <w:rPr>
          <w:rFonts w:ascii="宋体" w:hAnsi="宋体"/>
        </w:rPr>
        <w:t>4</w:t>
      </w:r>
      <w:r>
        <w:rPr>
          <w:rFonts w:hint="eastAsia" w:ascii="宋体" w:hAnsi="宋体"/>
        </w:rPr>
        <w:t>．转移支付收支情况</w:t>
      </w:r>
    </w:p>
    <w:p>
      <w:pPr>
        <w:spacing w:line="579" w:lineRule="exact"/>
        <w:ind w:firstLine="640" w:firstLineChars="200"/>
        <w:rPr>
          <w:rFonts w:ascii="宋体" w:eastAsia="宋体"/>
          <w:color w:val="FF0000"/>
        </w:rPr>
      </w:pPr>
      <w:r>
        <w:rPr>
          <w:rFonts w:ascii="宋体" w:hAnsi="宋体"/>
        </w:rPr>
        <w:t>2020</w:t>
      </w:r>
      <w:r>
        <w:rPr>
          <w:rFonts w:hint="eastAsia" w:ascii="宋体" w:hAnsi="宋体"/>
        </w:rPr>
        <w:t>年市级下达我区转移支付补助</w:t>
      </w:r>
      <w:r>
        <w:rPr>
          <w:rFonts w:ascii="宋体" w:hAnsi="宋体"/>
        </w:rPr>
        <w:t>60.74</w:t>
      </w:r>
      <w:r>
        <w:rPr>
          <w:rFonts w:hint="eastAsia" w:ascii="宋体" w:hAnsi="宋体"/>
        </w:rPr>
        <w:t>亿元，其中，一般公共预算转移支付收入</w:t>
      </w:r>
      <w:r>
        <w:rPr>
          <w:rFonts w:ascii="宋体" w:hAnsi="宋体"/>
        </w:rPr>
        <w:t>54.11</w:t>
      </w:r>
      <w:r>
        <w:rPr>
          <w:rFonts w:hint="eastAsia" w:ascii="宋体" w:hAnsi="宋体"/>
        </w:rPr>
        <w:t>亿元，占比</w:t>
      </w:r>
      <w:r>
        <w:rPr>
          <w:rFonts w:ascii="宋体" w:hAnsi="宋体"/>
        </w:rPr>
        <w:t>89.1%</w:t>
      </w:r>
      <w:r>
        <w:rPr>
          <w:rFonts w:hint="eastAsia" w:ascii="宋体" w:hAnsi="宋体"/>
        </w:rPr>
        <w:t>；政府性基金预算转移支付收入</w:t>
      </w:r>
      <w:r>
        <w:rPr>
          <w:rFonts w:ascii="宋体" w:hAnsi="宋体"/>
        </w:rPr>
        <w:t>6.63</w:t>
      </w:r>
      <w:r>
        <w:rPr>
          <w:rFonts w:hint="eastAsia" w:ascii="宋体" w:hAnsi="宋体"/>
        </w:rPr>
        <w:t>亿元，占比</w:t>
      </w:r>
      <w:r>
        <w:rPr>
          <w:rFonts w:ascii="宋体" w:hAnsi="宋体"/>
        </w:rPr>
        <w:t>10.9%</w:t>
      </w:r>
      <w:r>
        <w:rPr>
          <w:rFonts w:hint="eastAsia" w:ascii="宋体" w:hAnsi="宋体"/>
        </w:rPr>
        <w:t>。按转移支付类别分：一般性转移支付收入</w:t>
      </w:r>
      <w:r>
        <w:rPr>
          <w:rFonts w:ascii="宋体" w:hAnsi="宋体"/>
        </w:rPr>
        <w:t>43.72</w:t>
      </w:r>
      <w:r>
        <w:rPr>
          <w:rFonts w:hint="eastAsia" w:ascii="宋体" w:hAnsi="宋体"/>
        </w:rPr>
        <w:t>亿元，占比</w:t>
      </w:r>
      <w:r>
        <w:rPr>
          <w:rFonts w:ascii="宋体" w:hAnsi="宋体"/>
        </w:rPr>
        <w:t>72.0%</w:t>
      </w:r>
      <w:r>
        <w:rPr>
          <w:rFonts w:hint="eastAsia" w:ascii="宋体" w:hAnsi="宋体"/>
        </w:rPr>
        <w:t>，主要用于落实医疗、养老、住房保障等基本公共服务领域民生支出；专项转移支付收入</w:t>
      </w:r>
      <w:r>
        <w:rPr>
          <w:rFonts w:ascii="宋体" w:hAnsi="宋体"/>
        </w:rPr>
        <w:t>17.02</w:t>
      </w:r>
      <w:r>
        <w:rPr>
          <w:rFonts w:hint="eastAsia" w:ascii="宋体" w:hAnsi="宋体"/>
        </w:rPr>
        <w:t>亿元，占比</w:t>
      </w:r>
      <w:r>
        <w:rPr>
          <w:rFonts w:ascii="宋体" w:hAnsi="宋体"/>
        </w:rPr>
        <w:t>28.0%</w:t>
      </w:r>
      <w:r>
        <w:rPr>
          <w:rFonts w:hint="eastAsia" w:ascii="宋体" w:hAnsi="宋体"/>
        </w:rPr>
        <w:t>，主要用于基础设施、产业发展、生态环保、脱贫攻坚等领域建设发展支出和抗疫相关支出。</w:t>
      </w:r>
    </w:p>
    <w:p>
      <w:pPr>
        <w:spacing w:line="579" w:lineRule="exact"/>
        <w:ind w:firstLine="640" w:firstLineChars="200"/>
        <w:rPr>
          <w:rFonts w:ascii="宋体" w:eastAsia="宋体"/>
          <w:color w:val="FF0000"/>
        </w:rPr>
      </w:pPr>
      <w:r>
        <w:rPr>
          <w:rFonts w:ascii="宋体" w:hAnsi="宋体"/>
          <w:color w:val="000000"/>
        </w:rPr>
        <w:t>2020</w:t>
      </w:r>
      <w:r>
        <w:rPr>
          <w:rFonts w:hint="eastAsia" w:ascii="宋体" w:hAnsi="宋体"/>
          <w:color w:val="000000"/>
        </w:rPr>
        <w:t>年区级安排镇级转移支付</w:t>
      </w:r>
      <w:r>
        <w:rPr>
          <w:rFonts w:ascii="宋体" w:hAnsi="宋体"/>
          <w:color w:val="000000"/>
        </w:rPr>
        <w:t>8.61</w:t>
      </w:r>
      <w:r>
        <w:rPr>
          <w:rFonts w:hint="eastAsia" w:ascii="宋体" w:hAnsi="宋体"/>
          <w:color w:val="000000"/>
        </w:rPr>
        <w:t>亿元，其中，一般公共预算转移支付支出</w:t>
      </w:r>
      <w:r>
        <w:rPr>
          <w:rFonts w:ascii="宋体" w:hAnsi="宋体"/>
          <w:color w:val="000000"/>
        </w:rPr>
        <w:t>8.34</w:t>
      </w:r>
      <w:r>
        <w:rPr>
          <w:rFonts w:hint="eastAsia" w:ascii="宋体" w:hAnsi="宋体"/>
          <w:color w:val="000000"/>
        </w:rPr>
        <w:t>亿元，占比</w:t>
      </w:r>
      <w:r>
        <w:rPr>
          <w:rFonts w:ascii="宋体" w:hAnsi="宋体"/>
          <w:color w:val="000000"/>
        </w:rPr>
        <w:t>96.9%</w:t>
      </w:r>
      <w:r>
        <w:rPr>
          <w:rFonts w:hint="eastAsia" w:ascii="宋体" w:hAnsi="宋体"/>
          <w:color w:val="000000"/>
        </w:rPr>
        <w:t>；政府性基金预算转移支付支出</w:t>
      </w:r>
      <w:r>
        <w:rPr>
          <w:rFonts w:ascii="宋体" w:hAnsi="宋体"/>
          <w:color w:val="000000"/>
        </w:rPr>
        <w:t>0.27</w:t>
      </w:r>
      <w:r>
        <w:rPr>
          <w:rFonts w:hint="eastAsia" w:ascii="宋体" w:hAnsi="宋体"/>
        </w:rPr>
        <w:t>亿元，占比</w:t>
      </w:r>
      <w:r>
        <w:rPr>
          <w:rFonts w:ascii="宋体" w:hAnsi="宋体"/>
        </w:rPr>
        <w:t>3.1%</w:t>
      </w:r>
      <w:r>
        <w:rPr>
          <w:rFonts w:hint="eastAsia" w:ascii="宋体" w:hAnsi="宋体"/>
        </w:rPr>
        <w:t>。按转移支付类别分：一般性转移支付</w:t>
      </w:r>
      <w:r>
        <w:rPr>
          <w:rFonts w:ascii="宋体" w:hAnsi="宋体"/>
        </w:rPr>
        <w:t>7.28</w:t>
      </w:r>
      <w:r>
        <w:rPr>
          <w:rFonts w:hint="eastAsia" w:ascii="宋体" w:hAnsi="宋体"/>
        </w:rPr>
        <w:t>亿元，占比</w:t>
      </w:r>
      <w:r>
        <w:rPr>
          <w:rFonts w:ascii="宋体" w:hAnsi="宋体"/>
        </w:rPr>
        <w:t>84.6%</w:t>
      </w:r>
      <w:r>
        <w:rPr>
          <w:rFonts w:hint="eastAsia" w:ascii="宋体" w:hAnsi="宋体"/>
        </w:rPr>
        <w:t>，专项转移支付</w:t>
      </w:r>
      <w:r>
        <w:rPr>
          <w:rFonts w:ascii="宋体" w:hAnsi="宋体"/>
        </w:rPr>
        <w:t>1.33</w:t>
      </w:r>
      <w:r>
        <w:rPr>
          <w:rFonts w:hint="eastAsia" w:ascii="宋体" w:hAnsi="宋体"/>
        </w:rPr>
        <w:t>亿元，占比</w:t>
      </w:r>
      <w:r>
        <w:rPr>
          <w:rFonts w:ascii="宋体" w:hAnsi="宋体"/>
        </w:rPr>
        <w:t>15.4%</w:t>
      </w:r>
      <w:r>
        <w:rPr>
          <w:rFonts w:hint="eastAsia" w:ascii="宋体" w:hAnsi="宋体"/>
        </w:rPr>
        <w:t>，主要用于支持镇财政“保工资、保运转、保基本民生”，加大脱贫攻坚力度，改善基础设施和人居环境，新冠疫情防控等。</w:t>
      </w:r>
    </w:p>
    <w:p>
      <w:pPr>
        <w:tabs>
          <w:tab w:val="left" w:pos="0"/>
        </w:tabs>
        <w:spacing w:line="579" w:lineRule="exact"/>
        <w:ind w:left="640" w:leftChars="200"/>
        <w:rPr>
          <w:rFonts w:ascii="宋体" w:eastAsia="宋体"/>
          <w:color w:val="000000"/>
        </w:rPr>
      </w:pPr>
      <w:r>
        <w:rPr>
          <w:rFonts w:ascii="宋体" w:hAnsi="宋体"/>
          <w:color w:val="000000"/>
        </w:rPr>
        <w:t>5.</w:t>
      </w:r>
      <w:r>
        <w:rPr>
          <w:rFonts w:hint="eastAsia" w:ascii="宋体" w:hAnsi="宋体"/>
          <w:color w:val="000000"/>
        </w:rPr>
        <w:t>区级结转结余资金使用情况</w:t>
      </w:r>
    </w:p>
    <w:p>
      <w:pPr>
        <w:tabs>
          <w:tab w:val="left" w:pos="0"/>
        </w:tabs>
        <w:spacing w:line="579" w:lineRule="exact"/>
        <w:rPr>
          <w:rFonts w:ascii="宋体" w:eastAsia="宋体"/>
        </w:rPr>
      </w:pPr>
      <w:r>
        <w:rPr>
          <w:rFonts w:ascii="宋体" w:hAnsi="宋体"/>
          <w:color w:val="000000"/>
        </w:rPr>
        <w:t xml:space="preserve">    2020</w:t>
      </w:r>
      <w:r>
        <w:rPr>
          <w:rFonts w:hint="eastAsia" w:ascii="宋体" w:hAnsi="宋体"/>
          <w:color w:val="000000"/>
        </w:rPr>
        <w:t>年财政预算</w:t>
      </w:r>
      <w:r>
        <w:rPr>
          <w:rFonts w:hint="eastAsia" w:ascii="宋体" w:hAnsi="宋体"/>
        </w:rPr>
        <w:t>结转</w:t>
      </w:r>
      <w:r>
        <w:rPr>
          <w:rFonts w:ascii="宋体" w:hAnsi="宋体"/>
        </w:rPr>
        <w:t>4.70</w:t>
      </w:r>
      <w:r>
        <w:rPr>
          <w:rFonts w:hint="eastAsia" w:ascii="宋体" w:hAnsi="宋体"/>
        </w:rPr>
        <w:t>亿元，其中：一般公共预算结转</w:t>
      </w:r>
      <w:r>
        <w:rPr>
          <w:rFonts w:ascii="宋体" w:hAnsi="宋体"/>
        </w:rPr>
        <w:t>1.19</w:t>
      </w:r>
      <w:r>
        <w:rPr>
          <w:rFonts w:hint="eastAsia" w:ascii="宋体" w:hAnsi="宋体"/>
        </w:rPr>
        <w:t>亿元、政府性基金预算结转</w:t>
      </w:r>
      <w:r>
        <w:rPr>
          <w:rFonts w:ascii="宋体" w:hAnsi="宋体"/>
        </w:rPr>
        <w:t>3.51</w:t>
      </w:r>
      <w:r>
        <w:rPr>
          <w:rFonts w:hint="eastAsia" w:ascii="宋体" w:hAnsi="宋体"/>
        </w:rPr>
        <w:t>亿元，已纳入</w:t>
      </w:r>
      <w:r>
        <w:rPr>
          <w:rFonts w:ascii="宋体" w:hAnsi="宋体"/>
        </w:rPr>
        <w:t>2021</w:t>
      </w:r>
      <w:r>
        <w:rPr>
          <w:rFonts w:hint="eastAsia" w:ascii="宋体" w:hAnsi="宋体"/>
        </w:rPr>
        <w:t>年区本级财政预算安排使用。</w:t>
      </w:r>
      <w:r>
        <w:rPr>
          <w:rFonts w:ascii="宋体" w:hAnsi="宋体"/>
        </w:rPr>
        <w:t>2020</w:t>
      </w:r>
      <w:r>
        <w:rPr>
          <w:rFonts w:hint="eastAsia" w:ascii="宋体" w:hAnsi="宋体"/>
        </w:rPr>
        <w:t>年统筹使用国库集中支付结余资金</w:t>
      </w:r>
      <w:r>
        <w:rPr>
          <w:rFonts w:ascii="宋体" w:hAnsi="宋体"/>
        </w:rPr>
        <w:t>9.96</w:t>
      </w:r>
      <w:r>
        <w:rPr>
          <w:rFonts w:hint="eastAsia" w:ascii="宋体" w:hAnsi="宋体"/>
        </w:rPr>
        <w:t>亿元。</w:t>
      </w:r>
    </w:p>
    <w:p>
      <w:pPr>
        <w:spacing w:line="579" w:lineRule="exact"/>
        <w:ind w:firstLine="640" w:firstLineChars="200"/>
        <w:rPr>
          <w:rFonts w:ascii="宋体" w:eastAsia="宋体"/>
        </w:rPr>
      </w:pPr>
      <w:r>
        <w:rPr>
          <w:rFonts w:ascii="宋体" w:hAnsi="宋体"/>
        </w:rPr>
        <w:t>6.</w:t>
      </w:r>
      <w:r>
        <w:rPr>
          <w:rFonts w:hint="eastAsia" w:ascii="宋体" w:hAnsi="宋体"/>
        </w:rPr>
        <w:t>地方政府债务情况</w:t>
      </w:r>
    </w:p>
    <w:p>
      <w:pPr>
        <w:spacing w:line="579" w:lineRule="exact"/>
        <w:ind w:firstLine="640" w:firstLineChars="200"/>
        <w:rPr>
          <w:rFonts w:ascii="宋体" w:eastAsia="宋体"/>
        </w:rPr>
      </w:pPr>
      <w:r>
        <w:rPr>
          <w:rFonts w:hint="eastAsia" w:ascii="宋体" w:hAnsi="宋体"/>
        </w:rPr>
        <w:t>（</w:t>
      </w:r>
      <w:r>
        <w:rPr>
          <w:rFonts w:ascii="宋体" w:hAnsi="宋体"/>
        </w:rPr>
        <w:t>1</w:t>
      </w:r>
      <w:r>
        <w:rPr>
          <w:rFonts w:hint="eastAsia" w:ascii="宋体" w:hAnsi="宋体"/>
        </w:rPr>
        <w:t>）政府债务限额和余额情况。经市政府批准，市财政局核定我区</w:t>
      </w:r>
      <w:r>
        <w:rPr>
          <w:rFonts w:ascii="宋体" w:hAnsi="宋体"/>
        </w:rPr>
        <w:t>2020</w:t>
      </w:r>
      <w:r>
        <w:rPr>
          <w:rFonts w:hint="eastAsia" w:ascii="宋体" w:hAnsi="宋体"/>
        </w:rPr>
        <w:t>年末政府债务限额</w:t>
      </w:r>
      <w:r>
        <w:rPr>
          <w:rFonts w:ascii="宋体" w:hAnsi="宋体"/>
        </w:rPr>
        <w:t>224.20</w:t>
      </w:r>
      <w:r>
        <w:rPr>
          <w:rFonts w:hint="eastAsia" w:ascii="宋体" w:hAnsi="宋体"/>
        </w:rPr>
        <w:t>亿元，其中，一般债务余额限额</w:t>
      </w:r>
      <w:r>
        <w:rPr>
          <w:rFonts w:ascii="宋体" w:hAnsi="宋体"/>
        </w:rPr>
        <w:t>88.20</w:t>
      </w:r>
      <w:r>
        <w:rPr>
          <w:rFonts w:hint="eastAsia" w:ascii="宋体" w:hAnsi="宋体"/>
        </w:rPr>
        <w:t>亿元，专项债务余额限额</w:t>
      </w:r>
      <w:r>
        <w:rPr>
          <w:rFonts w:ascii="宋体" w:hAnsi="宋体"/>
        </w:rPr>
        <w:t>136</w:t>
      </w:r>
      <w:r>
        <w:rPr>
          <w:rFonts w:hint="eastAsia" w:ascii="宋体" w:hAnsi="宋体"/>
        </w:rPr>
        <w:t>亿元。截止</w:t>
      </w:r>
      <w:r>
        <w:rPr>
          <w:rFonts w:ascii="宋体" w:hAnsi="宋体"/>
        </w:rPr>
        <w:t>2020</w:t>
      </w:r>
      <w:r>
        <w:rPr>
          <w:rFonts w:hint="eastAsia" w:ascii="宋体" w:hAnsi="宋体"/>
        </w:rPr>
        <w:t>年末，我区政府债务余额</w:t>
      </w:r>
      <w:r>
        <w:rPr>
          <w:rFonts w:ascii="宋体" w:hAnsi="宋体"/>
        </w:rPr>
        <w:t>166.02</w:t>
      </w:r>
      <w:r>
        <w:rPr>
          <w:rFonts w:hint="eastAsia" w:ascii="宋体" w:hAnsi="宋体"/>
        </w:rPr>
        <w:t>亿元，其中，一般债务余额</w:t>
      </w:r>
      <w:r>
        <w:rPr>
          <w:rFonts w:ascii="宋体" w:hAnsi="宋体"/>
        </w:rPr>
        <w:t>56.06</w:t>
      </w:r>
      <w:r>
        <w:rPr>
          <w:rFonts w:hint="eastAsia" w:ascii="宋体" w:hAnsi="宋体"/>
        </w:rPr>
        <w:t>亿元，专项债务余额</w:t>
      </w:r>
      <w:r>
        <w:rPr>
          <w:rFonts w:ascii="宋体" w:hAnsi="宋体"/>
        </w:rPr>
        <w:t>109.96</w:t>
      </w:r>
      <w:r>
        <w:rPr>
          <w:rFonts w:hint="eastAsia" w:ascii="宋体" w:hAnsi="宋体"/>
        </w:rPr>
        <w:t>亿元，控制在限额以内。</w:t>
      </w:r>
    </w:p>
    <w:p>
      <w:pPr>
        <w:spacing w:line="579" w:lineRule="exact"/>
        <w:ind w:firstLine="640" w:firstLineChars="200"/>
        <w:rPr>
          <w:rFonts w:ascii="宋体" w:eastAsia="宋体"/>
          <w:color w:val="FF0000"/>
        </w:rPr>
      </w:pPr>
      <w:r>
        <w:rPr>
          <w:rFonts w:hint="eastAsia" w:ascii="宋体" w:hAnsi="宋体"/>
        </w:rPr>
        <w:t>（</w:t>
      </w:r>
      <w:r>
        <w:rPr>
          <w:rFonts w:ascii="宋体" w:hAnsi="宋体"/>
        </w:rPr>
        <w:t>2</w:t>
      </w:r>
      <w:r>
        <w:rPr>
          <w:rFonts w:hint="eastAsia" w:ascii="宋体" w:hAnsi="宋体"/>
        </w:rPr>
        <w:t>）政府债券举借和使用情况。根据市财政局核定的政府债务余额限额，结合我区政府债务风险和偿债能力，</w:t>
      </w:r>
      <w:r>
        <w:rPr>
          <w:rFonts w:ascii="宋体" w:hAnsi="宋体"/>
        </w:rPr>
        <w:t>2020</w:t>
      </w:r>
      <w:r>
        <w:rPr>
          <w:rFonts w:hint="eastAsia" w:ascii="宋体" w:hAnsi="宋体"/>
        </w:rPr>
        <w:t>年市财政转贷我区政府债券</w:t>
      </w:r>
      <w:r>
        <w:rPr>
          <w:rFonts w:ascii="宋体" w:hAnsi="宋体"/>
        </w:rPr>
        <w:t>28.50</w:t>
      </w:r>
      <w:r>
        <w:rPr>
          <w:rFonts w:hint="eastAsia" w:ascii="宋体" w:hAnsi="宋体"/>
        </w:rPr>
        <w:t>亿元，其中：一般债券</w:t>
      </w:r>
      <w:r>
        <w:rPr>
          <w:rFonts w:ascii="宋体" w:hAnsi="宋体"/>
        </w:rPr>
        <w:t>2</w:t>
      </w:r>
      <w:r>
        <w:rPr>
          <w:rFonts w:hint="eastAsia" w:ascii="宋体" w:hAnsi="宋体"/>
        </w:rPr>
        <w:t>亿元，其他自求平衡专项债券</w:t>
      </w:r>
      <w:r>
        <w:rPr>
          <w:rFonts w:ascii="宋体" w:hAnsi="宋体"/>
        </w:rPr>
        <w:t>26.50</w:t>
      </w:r>
      <w:r>
        <w:rPr>
          <w:rFonts w:hint="eastAsia" w:ascii="宋体" w:hAnsi="宋体"/>
        </w:rPr>
        <w:t>亿元。按规定，新增债券资金全部用于公益性建设项目投入。按项目单位分：滨江新城建设管理中心</w:t>
      </w:r>
      <w:r>
        <w:rPr>
          <w:rFonts w:ascii="宋体" w:hAnsi="宋体"/>
        </w:rPr>
        <w:t>5.50</w:t>
      </w:r>
      <w:r>
        <w:rPr>
          <w:rFonts w:hint="eastAsia" w:ascii="宋体" w:hAnsi="宋体"/>
        </w:rPr>
        <w:t>亿元，双福工业园发展中心</w:t>
      </w:r>
      <w:r>
        <w:rPr>
          <w:rFonts w:ascii="宋体" w:hAnsi="宋体"/>
        </w:rPr>
        <w:t>7.07</w:t>
      </w:r>
      <w:r>
        <w:rPr>
          <w:rFonts w:hint="eastAsia" w:ascii="宋体" w:hAnsi="宋体"/>
        </w:rPr>
        <w:t>亿元，珞璜工业园发展中心</w:t>
      </w:r>
      <w:r>
        <w:rPr>
          <w:rFonts w:ascii="宋体" w:hAnsi="宋体"/>
        </w:rPr>
        <w:t>0.52</w:t>
      </w:r>
      <w:r>
        <w:rPr>
          <w:rFonts w:hint="eastAsia" w:ascii="宋体" w:hAnsi="宋体"/>
        </w:rPr>
        <w:t>亿元，德感工业园发展中心</w:t>
      </w:r>
      <w:r>
        <w:rPr>
          <w:rFonts w:ascii="宋体" w:hAnsi="宋体"/>
        </w:rPr>
        <w:t>3.85</w:t>
      </w:r>
      <w:r>
        <w:rPr>
          <w:rFonts w:hint="eastAsia" w:ascii="宋体" w:hAnsi="宋体"/>
        </w:rPr>
        <w:t>亿元，白沙工业园发展中心</w:t>
      </w:r>
      <w:r>
        <w:rPr>
          <w:rFonts w:ascii="宋体" w:hAnsi="宋体"/>
        </w:rPr>
        <w:t>0.69</w:t>
      </w:r>
      <w:r>
        <w:rPr>
          <w:rFonts w:hint="eastAsia" w:ascii="宋体" w:hAnsi="宋体"/>
        </w:rPr>
        <w:t>亿元，综保区管委会</w:t>
      </w:r>
      <w:r>
        <w:rPr>
          <w:rFonts w:ascii="宋体" w:hAnsi="宋体"/>
        </w:rPr>
        <w:t>0.80</w:t>
      </w:r>
      <w:r>
        <w:rPr>
          <w:rFonts w:hint="eastAsia" w:ascii="宋体" w:hAnsi="宋体"/>
        </w:rPr>
        <w:t>亿元，现代农业园区发展中心</w:t>
      </w:r>
      <w:r>
        <w:rPr>
          <w:rFonts w:ascii="宋体" w:hAnsi="宋体"/>
        </w:rPr>
        <w:t>1.50</w:t>
      </w:r>
      <w:r>
        <w:rPr>
          <w:rFonts w:hint="eastAsia" w:ascii="宋体" w:hAnsi="宋体"/>
        </w:rPr>
        <w:t>亿元</w:t>
      </w:r>
      <w:r>
        <w:rPr>
          <w:rFonts w:hint="eastAsia" w:ascii="宋体" w:hAnsi="宋体"/>
          <w:color w:val="0000FF"/>
        </w:rPr>
        <w:t>，</w:t>
      </w:r>
      <w:r>
        <w:rPr>
          <w:rFonts w:hint="eastAsia" w:ascii="宋体" w:hAnsi="宋体"/>
        </w:rPr>
        <w:t>四面山管委会</w:t>
      </w:r>
      <w:r>
        <w:rPr>
          <w:rFonts w:ascii="宋体" w:hAnsi="宋体"/>
        </w:rPr>
        <w:t>0.24</w:t>
      </w:r>
      <w:r>
        <w:rPr>
          <w:rFonts w:hint="eastAsia" w:ascii="宋体" w:hAnsi="宋体"/>
        </w:rPr>
        <w:t>亿元，区住房城乡建委</w:t>
      </w:r>
      <w:r>
        <w:rPr>
          <w:rFonts w:ascii="宋体" w:hAnsi="宋体"/>
        </w:rPr>
        <w:t>0.10</w:t>
      </w:r>
      <w:r>
        <w:rPr>
          <w:rFonts w:hint="eastAsia" w:ascii="宋体" w:hAnsi="宋体"/>
        </w:rPr>
        <w:t>亿元，区教委</w:t>
      </w:r>
      <w:r>
        <w:rPr>
          <w:rFonts w:ascii="宋体" w:hAnsi="宋体"/>
        </w:rPr>
        <w:t>0.32</w:t>
      </w:r>
      <w:r>
        <w:rPr>
          <w:rFonts w:hint="eastAsia" w:ascii="宋体" w:hAnsi="宋体"/>
        </w:rPr>
        <w:t>亿元，区交通局</w:t>
      </w:r>
      <w:r>
        <w:rPr>
          <w:rFonts w:ascii="宋体" w:hAnsi="宋体"/>
        </w:rPr>
        <w:t>3.79</w:t>
      </w:r>
      <w:r>
        <w:rPr>
          <w:rFonts w:hint="eastAsia" w:ascii="宋体" w:hAnsi="宋体"/>
        </w:rPr>
        <w:t>亿元，区体育局</w:t>
      </w:r>
      <w:r>
        <w:rPr>
          <w:rFonts w:ascii="宋体" w:hAnsi="宋体"/>
        </w:rPr>
        <w:t>0.10</w:t>
      </w:r>
      <w:r>
        <w:rPr>
          <w:rFonts w:hint="eastAsia" w:ascii="宋体" w:hAnsi="宋体"/>
        </w:rPr>
        <w:t>亿元，区水利局</w:t>
      </w:r>
      <w:r>
        <w:rPr>
          <w:rFonts w:ascii="宋体" w:hAnsi="宋体"/>
        </w:rPr>
        <w:t>1.50</w:t>
      </w:r>
      <w:r>
        <w:rPr>
          <w:rFonts w:hint="eastAsia" w:ascii="宋体" w:hAnsi="宋体"/>
        </w:rPr>
        <w:t>亿元，区卫生健康委</w:t>
      </w:r>
      <w:r>
        <w:rPr>
          <w:rFonts w:ascii="宋体" w:hAnsi="宋体"/>
        </w:rPr>
        <w:t>0.25</w:t>
      </w:r>
      <w:r>
        <w:rPr>
          <w:rFonts w:hint="eastAsia" w:ascii="宋体" w:hAnsi="宋体"/>
        </w:rPr>
        <w:t>亿元，区文化旅游委</w:t>
      </w:r>
      <w:r>
        <w:rPr>
          <w:rFonts w:ascii="宋体" w:hAnsi="宋体"/>
        </w:rPr>
        <w:t>0.17</w:t>
      </w:r>
      <w:r>
        <w:rPr>
          <w:rFonts w:hint="eastAsia" w:ascii="宋体" w:hAnsi="宋体"/>
        </w:rPr>
        <w:t>亿元，区国资委</w:t>
      </w:r>
      <w:r>
        <w:rPr>
          <w:rFonts w:ascii="宋体" w:hAnsi="宋体"/>
        </w:rPr>
        <w:t>2.10</w:t>
      </w:r>
      <w:r>
        <w:rPr>
          <w:rFonts w:hint="eastAsia" w:ascii="宋体" w:hAnsi="宋体"/>
        </w:rPr>
        <w:t>亿元。一般债券主要用于支持保障性住房、道路等公益性建设项目投入；专项债券主要用于产业园区、交通、教育、卫生、农林水利、停车场、文化旅游等公益性建设项目投入；再融资债券按规定全部用于置换年度到期政府债券本金，不增加政府债务总规模。</w:t>
      </w:r>
    </w:p>
    <w:p>
      <w:pPr>
        <w:spacing w:line="579" w:lineRule="exact"/>
        <w:ind w:firstLine="640" w:firstLineChars="200"/>
        <w:rPr>
          <w:rFonts w:ascii="宋体" w:eastAsia="宋体"/>
        </w:rPr>
      </w:pPr>
      <w:r>
        <w:rPr>
          <w:rFonts w:hint="eastAsia" w:ascii="宋体" w:hAnsi="宋体"/>
        </w:rPr>
        <w:t>（</w:t>
      </w:r>
      <w:r>
        <w:rPr>
          <w:rFonts w:ascii="宋体" w:hAnsi="宋体"/>
        </w:rPr>
        <w:t>3</w:t>
      </w:r>
      <w:r>
        <w:rPr>
          <w:rFonts w:hint="eastAsia" w:ascii="宋体" w:hAnsi="宋体"/>
        </w:rPr>
        <w:t>）政府债务还本付息情况。</w:t>
      </w:r>
      <w:r>
        <w:rPr>
          <w:rFonts w:ascii="宋体" w:hAnsi="宋体"/>
        </w:rPr>
        <w:t>2020</w:t>
      </w:r>
      <w:r>
        <w:rPr>
          <w:rFonts w:hint="eastAsia" w:ascii="宋体" w:hAnsi="宋体"/>
        </w:rPr>
        <w:t>年，我区还本付息支出</w:t>
      </w:r>
      <w:r>
        <w:rPr>
          <w:rFonts w:ascii="宋体" w:hAnsi="宋体"/>
        </w:rPr>
        <w:t>18.35</w:t>
      </w:r>
      <w:r>
        <w:rPr>
          <w:rFonts w:hint="eastAsia" w:ascii="宋体" w:hAnsi="宋体"/>
        </w:rPr>
        <w:t>亿元，其中：到期政府债务本金</w:t>
      </w:r>
      <w:r>
        <w:rPr>
          <w:rFonts w:ascii="宋体" w:hAnsi="宋体"/>
        </w:rPr>
        <w:t>13.26</w:t>
      </w:r>
      <w:r>
        <w:rPr>
          <w:rFonts w:hint="eastAsia" w:ascii="宋体" w:hAnsi="宋体"/>
        </w:rPr>
        <w:t>亿元，政府债务利息和发行费</w:t>
      </w:r>
      <w:r>
        <w:rPr>
          <w:rFonts w:ascii="宋体" w:hAnsi="宋体"/>
        </w:rPr>
        <w:t>5.09</w:t>
      </w:r>
      <w:r>
        <w:rPr>
          <w:rFonts w:hint="eastAsia" w:ascii="宋体" w:hAnsi="宋体"/>
        </w:rPr>
        <w:t>亿元。</w:t>
      </w:r>
    </w:p>
    <w:p>
      <w:pPr>
        <w:spacing w:line="579" w:lineRule="exact"/>
        <w:ind w:firstLine="640" w:firstLineChars="200"/>
        <w:rPr>
          <w:rFonts w:ascii="宋体" w:eastAsia="宋体"/>
        </w:rPr>
      </w:pPr>
      <w:r>
        <w:rPr>
          <w:rFonts w:ascii="宋体" w:hAnsi="宋体"/>
        </w:rPr>
        <w:t>7</w:t>
      </w:r>
      <w:r>
        <w:rPr>
          <w:rFonts w:hint="eastAsia" w:ascii="宋体" w:hAnsi="宋体"/>
        </w:rPr>
        <w:t>．区级预备费使用情况</w:t>
      </w:r>
    </w:p>
    <w:p>
      <w:pPr>
        <w:spacing w:line="579" w:lineRule="exact"/>
        <w:ind w:firstLine="640" w:firstLineChars="200"/>
        <w:rPr>
          <w:rFonts w:ascii="宋体" w:eastAsia="宋体"/>
        </w:rPr>
      </w:pPr>
      <w:r>
        <w:rPr>
          <w:rFonts w:ascii="宋体" w:hAnsi="宋体"/>
        </w:rPr>
        <w:t>2020</w:t>
      </w:r>
      <w:r>
        <w:rPr>
          <w:rFonts w:hint="eastAsia" w:ascii="宋体" w:hAnsi="宋体"/>
        </w:rPr>
        <w:t>年，区十七届人大四次会议批准区级预备费</w:t>
      </w:r>
      <w:r>
        <w:rPr>
          <w:rFonts w:ascii="宋体" w:hAnsi="宋体"/>
        </w:rPr>
        <w:t>3.3</w:t>
      </w:r>
      <w:r>
        <w:rPr>
          <w:rFonts w:hint="eastAsia" w:ascii="宋体" w:hAnsi="宋体"/>
        </w:rPr>
        <w:t>亿元，区第十七届人大常委会第三十二次会议审议批准调减区级预备费</w:t>
      </w:r>
      <w:r>
        <w:rPr>
          <w:rFonts w:ascii="宋体" w:hAnsi="宋体"/>
        </w:rPr>
        <w:t>2.6</w:t>
      </w:r>
      <w:r>
        <w:rPr>
          <w:rFonts w:hint="eastAsia" w:ascii="宋体" w:hAnsi="宋体"/>
        </w:rPr>
        <w:t>亿元。经区政府批准，全年共动用预备费</w:t>
      </w:r>
      <w:r>
        <w:rPr>
          <w:rFonts w:ascii="宋体" w:hAnsi="宋体"/>
        </w:rPr>
        <w:t>0.7</w:t>
      </w:r>
      <w:r>
        <w:rPr>
          <w:rFonts w:hint="eastAsia" w:ascii="宋体" w:hAnsi="宋体"/>
        </w:rPr>
        <w:t>亿元，主要用于新冠肺炎疫情防控、地质灾害防治和自然灾害救助等相关支出。</w:t>
      </w:r>
    </w:p>
    <w:p>
      <w:pPr>
        <w:spacing w:line="579" w:lineRule="exact"/>
        <w:ind w:firstLine="640" w:firstLineChars="200"/>
        <w:rPr>
          <w:rFonts w:ascii="宋体" w:eastAsia="宋体"/>
        </w:rPr>
      </w:pPr>
      <w:r>
        <w:rPr>
          <w:rFonts w:ascii="宋体" w:hAnsi="宋体"/>
        </w:rPr>
        <w:t>8.</w:t>
      </w:r>
      <w:r>
        <w:rPr>
          <w:rFonts w:hint="eastAsia" w:ascii="宋体" w:hAnsi="宋体"/>
        </w:rPr>
        <w:t>超收收入安排情况</w:t>
      </w:r>
    </w:p>
    <w:p>
      <w:pPr>
        <w:spacing w:line="579" w:lineRule="exact"/>
        <w:ind w:firstLine="640" w:firstLineChars="200"/>
        <w:rPr>
          <w:rFonts w:ascii="宋体" w:eastAsia="宋体"/>
          <w:szCs w:val="32"/>
        </w:rPr>
      </w:pPr>
      <w:r>
        <w:rPr>
          <w:rFonts w:ascii="宋体" w:hAnsi="宋体"/>
          <w:szCs w:val="32"/>
        </w:rPr>
        <w:t>2020</w:t>
      </w:r>
      <w:r>
        <w:rPr>
          <w:rFonts w:hint="eastAsia" w:ascii="宋体" w:hAnsi="宋体"/>
          <w:szCs w:val="32"/>
        </w:rPr>
        <w:t>年一般公共预算超收收入</w:t>
      </w:r>
      <w:r>
        <w:rPr>
          <w:rFonts w:ascii="宋体" w:hAnsi="宋体"/>
          <w:szCs w:val="32"/>
        </w:rPr>
        <w:t>0.21</w:t>
      </w:r>
      <w:r>
        <w:rPr>
          <w:rFonts w:hint="eastAsia" w:ascii="宋体" w:hAnsi="宋体"/>
          <w:szCs w:val="32"/>
        </w:rPr>
        <w:t>亿元，按照《预算法》规定，一般公共预算的超收收入，可用于补充预算稳定调节基金。为此，</w:t>
      </w:r>
      <w:r>
        <w:rPr>
          <w:rFonts w:ascii="宋体" w:hAnsi="宋体"/>
          <w:szCs w:val="32"/>
        </w:rPr>
        <w:t>2020</w:t>
      </w:r>
      <w:r>
        <w:rPr>
          <w:rFonts w:hint="eastAsia" w:ascii="宋体" w:hAnsi="宋体"/>
          <w:szCs w:val="32"/>
        </w:rPr>
        <w:t>年一般公共预算超收收入</w:t>
      </w:r>
      <w:r>
        <w:rPr>
          <w:rFonts w:ascii="宋体" w:hAnsi="宋体"/>
          <w:szCs w:val="32"/>
        </w:rPr>
        <w:t>0.21</w:t>
      </w:r>
      <w:r>
        <w:rPr>
          <w:rFonts w:hint="eastAsia" w:ascii="宋体" w:hAnsi="宋体"/>
          <w:szCs w:val="32"/>
        </w:rPr>
        <w:t>亿元全额用于补充预算稳定调节基金，纳入第二年统筹安排。政府性基金预算收入超收</w:t>
      </w:r>
      <w:r>
        <w:rPr>
          <w:rFonts w:ascii="宋体" w:hAnsi="宋体"/>
          <w:szCs w:val="32"/>
        </w:rPr>
        <w:t>0.27</w:t>
      </w:r>
      <w:r>
        <w:rPr>
          <w:rFonts w:hint="eastAsia" w:ascii="宋体" w:hAnsi="宋体"/>
          <w:szCs w:val="32"/>
        </w:rPr>
        <w:t>亿元，结转下年支出</w:t>
      </w:r>
      <w:r>
        <w:rPr>
          <w:rFonts w:ascii="宋体" w:hAnsi="宋体"/>
          <w:szCs w:val="32"/>
        </w:rPr>
        <w:t>0.27</w:t>
      </w:r>
      <w:r>
        <w:rPr>
          <w:rFonts w:hint="eastAsia" w:ascii="宋体" w:hAnsi="宋体"/>
          <w:szCs w:val="32"/>
        </w:rPr>
        <w:t>亿元，其中：国有土地使用权出让收入结转下年</w:t>
      </w:r>
      <w:r>
        <w:rPr>
          <w:rFonts w:ascii="宋体" w:hAnsi="宋体"/>
          <w:szCs w:val="32"/>
        </w:rPr>
        <w:t>0.12</w:t>
      </w:r>
      <w:r>
        <w:rPr>
          <w:rFonts w:hint="eastAsia" w:ascii="宋体" w:hAnsi="宋体"/>
          <w:szCs w:val="32"/>
        </w:rPr>
        <w:t>亿元、城市基础设施配套费收入超收结转下年</w:t>
      </w:r>
      <w:r>
        <w:rPr>
          <w:rFonts w:ascii="宋体" w:hAnsi="宋体"/>
          <w:szCs w:val="32"/>
        </w:rPr>
        <w:t>0.15</w:t>
      </w:r>
      <w:r>
        <w:rPr>
          <w:rFonts w:hint="eastAsia" w:ascii="宋体" w:hAnsi="宋体"/>
          <w:szCs w:val="32"/>
        </w:rPr>
        <w:t>亿元。</w:t>
      </w:r>
    </w:p>
    <w:p>
      <w:pPr>
        <w:spacing w:line="579" w:lineRule="exact"/>
        <w:ind w:firstLine="640" w:firstLineChars="200"/>
        <w:rPr>
          <w:rFonts w:ascii="宋体" w:eastAsia="宋体"/>
          <w:szCs w:val="32"/>
        </w:rPr>
      </w:pPr>
      <w:r>
        <w:rPr>
          <w:rFonts w:ascii="宋体" w:hAnsi="宋体"/>
          <w:szCs w:val="32"/>
        </w:rPr>
        <w:t>9</w:t>
      </w:r>
      <w:r>
        <w:rPr>
          <w:rFonts w:hint="eastAsia" w:ascii="宋体" w:hAnsi="宋体"/>
          <w:szCs w:val="32"/>
        </w:rPr>
        <w:t>．区级预算稳定调节基金使用情况</w:t>
      </w:r>
    </w:p>
    <w:p>
      <w:pPr>
        <w:spacing w:line="579" w:lineRule="exact"/>
        <w:ind w:firstLine="640" w:firstLineChars="200"/>
        <w:rPr>
          <w:rFonts w:ascii="宋体" w:eastAsia="宋体"/>
          <w:szCs w:val="32"/>
        </w:rPr>
      </w:pPr>
      <w:r>
        <w:rPr>
          <w:rFonts w:ascii="宋体" w:hAnsi="宋体"/>
          <w:szCs w:val="32"/>
        </w:rPr>
        <w:t>2020</w:t>
      </w:r>
      <w:r>
        <w:rPr>
          <w:rFonts w:hint="eastAsia" w:ascii="宋体" w:hAnsi="宋体"/>
          <w:szCs w:val="32"/>
        </w:rPr>
        <w:t>年初，预算稳定调节基金余额为</w:t>
      </w:r>
      <w:r>
        <w:rPr>
          <w:rFonts w:ascii="宋体" w:hAnsi="宋体"/>
          <w:szCs w:val="32"/>
        </w:rPr>
        <w:t>1.14</w:t>
      </w:r>
      <w:r>
        <w:rPr>
          <w:rFonts w:hint="eastAsia" w:ascii="宋体" w:hAnsi="宋体"/>
          <w:szCs w:val="32"/>
        </w:rPr>
        <w:t>亿元，在编制</w:t>
      </w:r>
      <w:r>
        <w:rPr>
          <w:rFonts w:ascii="宋体" w:hAnsi="宋体"/>
          <w:szCs w:val="32"/>
        </w:rPr>
        <w:t>2020</w:t>
      </w:r>
      <w:r>
        <w:rPr>
          <w:rFonts w:hint="eastAsia" w:ascii="宋体" w:hAnsi="宋体"/>
          <w:szCs w:val="32"/>
        </w:rPr>
        <w:t>年区本级财政预算草案时全额调入一般公共预算统筹安排支出。</w:t>
      </w:r>
      <w:r>
        <w:rPr>
          <w:rFonts w:ascii="宋体" w:hAnsi="宋体"/>
          <w:szCs w:val="32"/>
        </w:rPr>
        <w:t>2020</w:t>
      </w:r>
      <w:r>
        <w:rPr>
          <w:rFonts w:hint="eastAsia" w:ascii="宋体" w:hAnsi="宋体"/>
          <w:szCs w:val="32"/>
        </w:rPr>
        <w:t>年补充预算稳定调节基金</w:t>
      </w:r>
      <w:r>
        <w:rPr>
          <w:rFonts w:ascii="宋体" w:hAnsi="宋体"/>
          <w:szCs w:val="32"/>
        </w:rPr>
        <w:t>2.83</w:t>
      </w:r>
      <w:r>
        <w:rPr>
          <w:rFonts w:hint="eastAsia" w:ascii="宋体" w:hAnsi="宋体"/>
          <w:szCs w:val="32"/>
        </w:rPr>
        <w:t>亿元，主要为</w:t>
      </w:r>
      <w:r>
        <w:rPr>
          <w:rFonts w:ascii="宋体" w:hAnsi="宋体"/>
          <w:szCs w:val="32"/>
        </w:rPr>
        <w:t>2020</w:t>
      </w:r>
      <w:r>
        <w:rPr>
          <w:rFonts w:hint="eastAsia" w:ascii="宋体" w:hAnsi="宋体"/>
          <w:szCs w:val="32"/>
        </w:rPr>
        <w:t>年底收回区级预算单位未执行完的区本级财政资金及一般公共预算超收收入等，在编制</w:t>
      </w:r>
      <w:r>
        <w:rPr>
          <w:rFonts w:ascii="宋体" w:hAnsi="宋体"/>
          <w:szCs w:val="32"/>
        </w:rPr>
        <w:t>2021</w:t>
      </w:r>
      <w:r>
        <w:rPr>
          <w:rFonts w:hint="eastAsia" w:ascii="宋体" w:hAnsi="宋体"/>
          <w:szCs w:val="32"/>
        </w:rPr>
        <w:t>年区本级财政预算草案时全额调入一般公共预算统筹安排支出。</w:t>
      </w:r>
    </w:p>
    <w:p>
      <w:pPr>
        <w:spacing w:line="579" w:lineRule="exact"/>
        <w:ind w:firstLine="640" w:firstLineChars="200"/>
        <w:rPr>
          <w:rFonts w:ascii="宋体" w:eastAsia="宋体"/>
        </w:rPr>
      </w:pPr>
      <w:r>
        <w:rPr>
          <w:rFonts w:ascii="宋体" w:hAnsi="宋体"/>
        </w:rPr>
        <w:t>10</w:t>
      </w:r>
      <w:r>
        <w:rPr>
          <w:rFonts w:hint="eastAsia" w:ascii="宋体" w:hAnsi="宋体"/>
        </w:rPr>
        <w:t>．“三公”经费情况</w:t>
      </w:r>
    </w:p>
    <w:p>
      <w:pPr>
        <w:spacing w:line="579" w:lineRule="exact"/>
        <w:ind w:firstLine="640" w:firstLineChars="200"/>
        <w:rPr>
          <w:rFonts w:ascii="宋体" w:eastAsia="宋体"/>
          <w:color w:val="0000FF"/>
        </w:rPr>
      </w:pPr>
      <w:r>
        <w:rPr>
          <w:rFonts w:ascii="宋体" w:hAnsi="宋体"/>
        </w:rPr>
        <w:t>2020</w:t>
      </w:r>
      <w:r>
        <w:rPr>
          <w:rFonts w:hint="eastAsia" w:ascii="宋体" w:hAnsi="宋体"/>
        </w:rPr>
        <w:t>年，我区在严格执行中央八项规定精神，厉行节约的同时严格支出管理，区级一般公共预算财政拨款开支“三公”经费</w:t>
      </w:r>
      <w:r>
        <w:rPr>
          <w:rFonts w:ascii="宋体" w:hAnsi="宋体"/>
        </w:rPr>
        <w:t>2318</w:t>
      </w:r>
      <w:r>
        <w:rPr>
          <w:rFonts w:hint="eastAsia" w:ascii="宋体" w:hAnsi="宋体"/>
        </w:rPr>
        <w:t>万元，下降</w:t>
      </w:r>
      <w:r>
        <w:rPr>
          <w:rFonts w:ascii="宋体" w:hAnsi="宋体"/>
        </w:rPr>
        <w:t>29.4%</w:t>
      </w:r>
      <w:r>
        <w:rPr>
          <w:rFonts w:hint="eastAsia" w:ascii="宋体" w:hAnsi="宋体"/>
        </w:rPr>
        <w:t>，其中：公务接待费</w:t>
      </w:r>
      <w:r>
        <w:rPr>
          <w:rFonts w:ascii="宋体" w:hAnsi="宋体"/>
        </w:rPr>
        <w:t>287</w:t>
      </w:r>
      <w:r>
        <w:rPr>
          <w:rFonts w:hint="eastAsia" w:ascii="宋体" w:hAnsi="宋体"/>
        </w:rPr>
        <w:t>万元，下降</w:t>
      </w:r>
      <w:r>
        <w:rPr>
          <w:rFonts w:ascii="宋体" w:hAnsi="宋体"/>
        </w:rPr>
        <w:t>28.4%</w:t>
      </w:r>
      <w:r>
        <w:rPr>
          <w:rFonts w:hint="eastAsia" w:ascii="宋体" w:hAnsi="宋体"/>
        </w:rPr>
        <w:t>；公务用车购置及运行维护费</w:t>
      </w:r>
      <w:r>
        <w:rPr>
          <w:rFonts w:ascii="宋体" w:hAnsi="宋体"/>
        </w:rPr>
        <w:t>2031</w:t>
      </w:r>
      <w:r>
        <w:rPr>
          <w:rFonts w:hint="eastAsia" w:ascii="宋体" w:hAnsi="宋体"/>
        </w:rPr>
        <w:t>万元，下降</w:t>
      </w:r>
      <w:r>
        <w:rPr>
          <w:rFonts w:ascii="宋体" w:hAnsi="宋体"/>
        </w:rPr>
        <w:t>26.3%</w:t>
      </w:r>
      <w:r>
        <w:rPr>
          <w:rFonts w:hint="eastAsia" w:ascii="宋体" w:hAnsi="宋体"/>
        </w:rPr>
        <w:t>，其中：公务用车购置费</w:t>
      </w:r>
      <w:r>
        <w:rPr>
          <w:rFonts w:ascii="宋体" w:hAnsi="宋体"/>
        </w:rPr>
        <w:t>401</w:t>
      </w:r>
      <w:r>
        <w:rPr>
          <w:rFonts w:hint="eastAsia" w:ascii="宋体" w:hAnsi="宋体"/>
        </w:rPr>
        <w:t>万元，下降</w:t>
      </w:r>
      <w:r>
        <w:rPr>
          <w:rFonts w:ascii="宋体" w:hAnsi="宋体"/>
        </w:rPr>
        <w:t>59.0%</w:t>
      </w:r>
      <w:r>
        <w:rPr>
          <w:rFonts w:hint="eastAsia" w:ascii="宋体" w:hAnsi="宋体"/>
        </w:rPr>
        <w:t>，公务用车运行维护费</w:t>
      </w:r>
      <w:r>
        <w:rPr>
          <w:rFonts w:ascii="宋体" w:hAnsi="宋体"/>
        </w:rPr>
        <w:t>1630</w:t>
      </w:r>
      <w:r>
        <w:rPr>
          <w:rFonts w:hint="eastAsia" w:ascii="宋体" w:hAnsi="宋体"/>
        </w:rPr>
        <w:t>万元，下降</w:t>
      </w:r>
      <w:r>
        <w:rPr>
          <w:rFonts w:ascii="宋体" w:hAnsi="宋体"/>
        </w:rPr>
        <w:t>8.4%</w:t>
      </w:r>
      <w:r>
        <w:rPr>
          <w:rFonts w:hint="eastAsia" w:ascii="宋体" w:hAnsi="宋体"/>
        </w:rPr>
        <w:t>。</w:t>
      </w:r>
    </w:p>
    <w:p>
      <w:pPr>
        <w:spacing w:line="579" w:lineRule="exact"/>
        <w:ind w:firstLine="640" w:firstLineChars="200"/>
        <w:rPr>
          <w:rFonts w:ascii="宋体" w:hAnsi="宋体" w:eastAsia="方正黑体_GBK"/>
        </w:rPr>
      </w:pPr>
      <w:r>
        <w:rPr>
          <w:rFonts w:hint="eastAsia" w:ascii="宋体" w:hAnsi="宋体" w:eastAsia="方正黑体_GBK"/>
        </w:rPr>
        <w:t>二、</w:t>
      </w:r>
      <w:r>
        <w:rPr>
          <w:rFonts w:ascii="宋体" w:hAnsi="宋体" w:eastAsia="方正黑体_GBK"/>
        </w:rPr>
        <w:t>2020</w:t>
      </w:r>
      <w:r>
        <w:rPr>
          <w:rFonts w:hint="eastAsia" w:ascii="宋体" w:hAnsi="宋体" w:eastAsia="方正黑体_GBK"/>
        </w:rPr>
        <w:t>年落实区人大决议和财政工作情况</w:t>
      </w:r>
    </w:p>
    <w:p>
      <w:pPr>
        <w:spacing w:line="579" w:lineRule="exact"/>
        <w:ind w:firstLine="640" w:firstLineChars="200"/>
        <w:rPr>
          <w:rFonts w:ascii="方正楷体_GBK" w:eastAsia="方正楷体_GBK"/>
        </w:rPr>
      </w:pPr>
      <w:r>
        <w:rPr>
          <w:rFonts w:hint="eastAsia" w:ascii="方正楷体_GBK" w:eastAsia="方正楷体_GBK"/>
        </w:rPr>
        <w:t>（一）发挥财政杠杆作用，激发经济增长内生动力。</w:t>
      </w:r>
    </w:p>
    <w:p>
      <w:pPr>
        <w:spacing w:line="579" w:lineRule="exact"/>
        <w:ind w:firstLine="640" w:firstLineChars="200"/>
      </w:pPr>
      <w:r>
        <w:rPr>
          <w:rFonts w:hint="eastAsia"/>
        </w:rPr>
        <w:t>以供给侧结构性改革为主线，加力提效积极财政政策，不断增强发展动力。不折不扣落实减税降费政策，全力推进税款延期缴纳、增值税留</w:t>
      </w:r>
      <w:r>
        <w:rPr>
          <w:rFonts w:hint="eastAsia"/>
          <w:lang w:eastAsia="zh-CN"/>
        </w:rPr>
        <w:t>抵</w:t>
      </w:r>
      <w:bookmarkStart w:id="0" w:name="_GoBack"/>
      <w:bookmarkEnd w:id="0"/>
      <w:r>
        <w:rPr>
          <w:rFonts w:hint="eastAsia"/>
        </w:rPr>
        <w:t>退税、社保降费、水电气降成本等政策落地，</w:t>
      </w:r>
      <w:r>
        <w:rPr>
          <w:rFonts w:hint="eastAsia" w:ascii="宋体" w:hAnsi="宋体" w:cs="方正仿宋_GBK"/>
          <w:kern w:val="0"/>
          <w:szCs w:val="32"/>
        </w:rPr>
        <w:t>宏观税负同比下降</w:t>
      </w:r>
      <w:r>
        <w:t>1.4</w:t>
      </w:r>
      <w:r>
        <w:rPr>
          <w:rFonts w:hint="eastAsia" w:ascii="宋体" w:hAnsi="宋体" w:cs="方正仿宋_GBK"/>
          <w:kern w:val="0"/>
          <w:szCs w:val="32"/>
        </w:rPr>
        <w:t>个百分点</w:t>
      </w:r>
      <w:r>
        <w:rPr>
          <w:rFonts w:hint="eastAsia"/>
        </w:rPr>
        <w:t>，全年新增减税</w:t>
      </w:r>
      <w:r>
        <w:t>10.2</w:t>
      </w:r>
      <w:r>
        <w:rPr>
          <w:rFonts w:hint="eastAsia"/>
        </w:rPr>
        <w:t>亿元，其中，区级减税</w:t>
      </w:r>
      <w:r>
        <w:t>4.5</w:t>
      </w:r>
      <w:r>
        <w:rPr>
          <w:rFonts w:hint="eastAsia"/>
        </w:rPr>
        <w:t>亿元；实现社保减负</w:t>
      </w:r>
      <w:r>
        <w:t>13.4</w:t>
      </w:r>
      <w:r>
        <w:rPr>
          <w:rFonts w:hint="eastAsia"/>
        </w:rPr>
        <w:t>亿元，惠及企业</w:t>
      </w:r>
      <w:r>
        <w:t>5888</w:t>
      </w:r>
      <w:r>
        <w:rPr>
          <w:rFonts w:hint="eastAsia"/>
        </w:rPr>
        <w:t>家，惠及群众达</w:t>
      </w:r>
      <w:r>
        <w:t>24.9</w:t>
      </w:r>
      <w:r>
        <w:rPr>
          <w:rFonts w:hint="eastAsia"/>
        </w:rPr>
        <w:t>万人，企业和居民获得感明显增强。认真落实“支持中小企业共渡难关</w:t>
      </w:r>
      <w:r>
        <w:t>20</w:t>
      </w:r>
      <w:r>
        <w:rPr>
          <w:rFonts w:hint="eastAsia"/>
        </w:rPr>
        <w:t>条”“复工复产</w:t>
      </w:r>
      <w:r>
        <w:t>40</w:t>
      </w:r>
      <w:r>
        <w:rPr>
          <w:rFonts w:hint="eastAsia"/>
        </w:rPr>
        <w:t>条”政策措施，强化疫情防控重点保障企业资金支持，认定保供企业</w:t>
      </w:r>
      <w:r>
        <w:t>17</w:t>
      </w:r>
      <w:r>
        <w:rPr>
          <w:rFonts w:hint="eastAsia"/>
        </w:rPr>
        <w:t>家，共获得央行再贷款</w:t>
      </w:r>
      <w:r>
        <w:t>16.85</w:t>
      </w:r>
      <w:r>
        <w:rPr>
          <w:rFonts w:hint="eastAsia"/>
        </w:rPr>
        <w:t>亿元，获得再贷款贴息</w:t>
      </w:r>
      <w:r>
        <w:t>1790</w:t>
      </w:r>
      <w:r>
        <w:rPr>
          <w:rFonts w:hint="eastAsia"/>
        </w:rPr>
        <w:t>万元，户数和总额在全市均排第一位。开展民营企业和小微企业金融服务改革试点，投入</w:t>
      </w:r>
      <w:r>
        <w:t>3000</w:t>
      </w:r>
      <w:r>
        <w:rPr>
          <w:rFonts w:hint="eastAsia"/>
        </w:rPr>
        <w:t>万元设立风险补偿资金，为民营和中小微企业提供担保贷款，切实解决民营和中小微企业融资难和融资贵的问题，全区共</w:t>
      </w:r>
      <w:r>
        <w:t>83</w:t>
      </w:r>
      <w:r>
        <w:rPr>
          <w:rFonts w:hint="eastAsia"/>
        </w:rPr>
        <w:t>家企业获得贷款</w:t>
      </w:r>
      <w:r>
        <w:t>1.75</w:t>
      </w:r>
      <w:r>
        <w:rPr>
          <w:rFonts w:hint="eastAsia"/>
        </w:rPr>
        <w:t>亿元。发挥政府投资在稳增长中的关键作用，通过清理盘活国有资产、积极争取中央新增</w:t>
      </w:r>
      <w:r>
        <w:t>2</w:t>
      </w:r>
      <w:r>
        <w:rPr>
          <w:rFonts w:hint="eastAsia"/>
        </w:rPr>
        <w:t>万亿直达资金和政府债券资金、统筹盘活存量资金以及实施</w:t>
      </w:r>
      <w:r>
        <w:t>PPP</w:t>
      </w:r>
      <w:r>
        <w:rPr>
          <w:rFonts w:hint="eastAsia"/>
        </w:rPr>
        <w:t>项目等方式，筹集资金</w:t>
      </w:r>
      <w:r>
        <w:t>50</w:t>
      </w:r>
      <w:r>
        <w:rPr>
          <w:rFonts w:hint="eastAsia"/>
        </w:rPr>
        <w:t>亿元，保障交通、水利、市政等基础设施建设，生态环保、脱贫攻坚等民生领域重点项目落地。深入实施创新驱动发展战略，推进一、二、三产业融合发展。安排工业高质量激励补助</w:t>
      </w:r>
      <w:r>
        <w:t>9240</w:t>
      </w:r>
      <w:r>
        <w:rPr>
          <w:rFonts w:hint="eastAsia"/>
        </w:rPr>
        <w:t>万元，推进工业品牌建设，推动智能制造发展和工业转型升级，支持打造消费品工业高质量聚集区。安排科技创新激励补助</w:t>
      </w:r>
      <w:r>
        <w:t>7583</w:t>
      </w:r>
      <w:r>
        <w:rPr>
          <w:rFonts w:hint="eastAsia"/>
        </w:rPr>
        <w:t>万元，支持企业研发投入和自主创新，全区高新技术企业、科技型企业分别增至</w:t>
      </w:r>
      <w:r>
        <w:t>211</w:t>
      </w:r>
      <w:r>
        <w:rPr>
          <w:rFonts w:hint="eastAsia"/>
        </w:rPr>
        <w:t>家、</w:t>
      </w:r>
      <w:r>
        <w:t>1125</w:t>
      </w:r>
      <w:r>
        <w:rPr>
          <w:rFonts w:hint="eastAsia"/>
        </w:rPr>
        <w:t>家。安排农业高质量激励补助</w:t>
      </w:r>
      <w:r>
        <w:t>4930</w:t>
      </w:r>
      <w:r>
        <w:rPr>
          <w:rFonts w:hint="eastAsia"/>
        </w:rPr>
        <w:t>万元，推进农业农村改革，支持发展壮大农村集体经济，全区农业新型经营主体达到</w:t>
      </w:r>
      <w:r>
        <w:t>6023</w:t>
      </w:r>
      <w:r>
        <w:rPr>
          <w:rFonts w:hint="eastAsia"/>
        </w:rPr>
        <w:t>个。落实企业重大新产品研发成本补助等激励政策，营造良好财税环境，激发企业创新活力。加强创新平台载体建设，支持团结湖大数据智能产业园、农村电子商务公共服务中心等建设，提升科技创新能力，推动产业转型升级。</w:t>
      </w:r>
    </w:p>
    <w:p>
      <w:pPr>
        <w:spacing w:line="579" w:lineRule="exact"/>
        <w:ind w:firstLine="640" w:firstLineChars="200"/>
        <w:rPr>
          <w:rFonts w:ascii="方正楷体_GBK" w:eastAsia="方正楷体_GBK"/>
        </w:rPr>
      </w:pPr>
      <w:r>
        <w:rPr>
          <w:rFonts w:hint="eastAsia" w:ascii="方正楷体_GBK" w:eastAsia="方正楷体_GBK"/>
        </w:rPr>
        <w:t>（二）强化民生服务保障，增强人民群众幸福感。</w:t>
      </w:r>
    </w:p>
    <w:p>
      <w:pPr>
        <w:spacing w:line="579" w:lineRule="exact"/>
        <w:ind w:firstLine="640" w:firstLineChars="200"/>
      </w:pPr>
      <w:r>
        <w:rPr>
          <w:rFonts w:hint="eastAsia"/>
        </w:rPr>
        <w:t>积极落实就业政策，全年共计发放就业补助资金</w:t>
      </w:r>
      <w:r>
        <w:t>6300</w:t>
      </w:r>
      <w:r>
        <w:rPr>
          <w:rFonts w:hint="eastAsia"/>
        </w:rPr>
        <w:t>万元，惠及各类重点群体</w:t>
      </w:r>
      <w:r>
        <w:t>2.56</w:t>
      </w:r>
      <w:r>
        <w:rPr>
          <w:rFonts w:hint="eastAsia"/>
        </w:rPr>
        <w:t>万人次。强化职业技能培训，发放培训补贴</w:t>
      </w:r>
      <w:r>
        <w:t>1478</w:t>
      </w:r>
      <w:r>
        <w:rPr>
          <w:rFonts w:hint="eastAsia"/>
        </w:rPr>
        <w:t>万元，开发建卡贫困户公益性岗位，促进全区</w:t>
      </w:r>
      <w:r>
        <w:t>11826</w:t>
      </w:r>
      <w:r>
        <w:rPr>
          <w:rFonts w:hint="eastAsia"/>
        </w:rPr>
        <w:t>名贫困劳动力全部实现就业。落实疫情期间一次性招工补贴和交通补助政策，发放稳岗返还补贴</w:t>
      </w:r>
      <w:r>
        <w:t>5508</w:t>
      </w:r>
      <w:r>
        <w:rPr>
          <w:rFonts w:hint="eastAsia"/>
        </w:rPr>
        <w:t>万元，缓缴减免农民工工资保证金</w:t>
      </w:r>
      <w:r>
        <w:t>1200</w:t>
      </w:r>
      <w:r>
        <w:rPr>
          <w:rFonts w:hint="eastAsia"/>
        </w:rPr>
        <w:t>万元。持续加大财政教育投入，落实义务教育经费保障机制，促进学前教育、高中教育、职业教育、高等教育发展。安排资金</w:t>
      </w:r>
      <w:r>
        <w:t>1.3</w:t>
      </w:r>
      <w:r>
        <w:rPr>
          <w:rFonts w:hint="eastAsia"/>
        </w:rPr>
        <w:t>亿元，支持改善办学条件，推进义务教育学校设施设备购置、校舍维修和薄弱学校改造等项目实施。扩大公办学前教育资源，投入资金</w:t>
      </w:r>
      <w:r>
        <w:t>3485</w:t>
      </w:r>
      <w:r>
        <w:rPr>
          <w:rFonts w:hint="eastAsia"/>
        </w:rPr>
        <w:t>万元，回购民办幼儿园</w:t>
      </w:r>
      <w:r>
        <w:t>2</w:t>
      </w:r>
      <w:r>
        <w:rPr>
          <w:rFonts w:hint="eastAsia"/>
        </w:rPr>
        <w:t>所和租赁教学点</w:t>
      </w:r>
      <w:r>
        <w:t>20</w:t>
      </w:r>
      <w:r>
        <w:rPr>
          <w:rFonts w:hint="eastAsia"/>
        </w:rPr>
        <w:t>个，全区公办幼儿园占比达到</w:t>
      </w:r>
      <w:r>
        <w:t>52%</w:t>
      </w:r>
      <w:r>
        <w:rPr>
          <w:rFonts w:hint="eastAsia"/>
        </w:rPr>
        <w:t>。完善学生资助政策，共计发放各类补助</w:t>
      </w:r>
      <w:r>
        <w:t>1.5</w:t>
      </w:r>
      <w:r>
        <w:rPr>
          <w:rFonts w:hint="eastAsia"/>
        </w:rPr>
        <w:t>亿元，惠及学生</w:t>
      </w:r>
      <w:r>
        <w:t>24.8</w:t>
      </w:r>
      <w:r>
        <w:rPr>
          <w:rFonts w:hint="eastAsia"/>
        </w:rPr>
        <w:t>万人次。投入资金</w:t>
      </w:r>
      <w:r>
        <w:t>4821</w:t>
      </w:r>
      <w:r>
        <w:rPr>
          <w:rFonts w:hint="eastAsia"/>
        </w:rPr>
        <w:t>万元，支持中小学校校园安保能力建设。投入资金</w:t>
      </w:r>
      <w:r>
        <w:t>4400</w:t>
      </w:r>
      <w:r>
        <w:rPr>
          <w:rFonts w:hint="eastAsia"/>
        </w:rPr>
        <w:t>万元，支持工商校学前教育实训基地、江津六中、嘉平幼儿园、中山幼儿园等学校建设。优先保障民生兜底政策，持续提高城乡低保、特困人员等社会救助水平和优抚对象等人群补助标准，发放优抚救助等资金</w:t>
      </w:r>
      <w:r>
        <w:t>6.03</w:t>
      </w:r>
      <w:r>
        <w:rPr>
          <w:rFonts w:hint="eastAsia"/>
        </w:rPr>
        <w:t>亿元，惠及群众</w:t>
      </w:r>
      <w:r>
        <w:t>127</w:t>
      </w:r>
      <w:r>
        <w:rPr>
          <w:rFonts w:hint="eastAsia"/>
        </w:rPr>
        <w:t>万人次。完善老年保障政策和服务体系。连续</w:t>
      </w:r>
      <w:r>
        <w:t>5</w:t>
      </w:r>
      <w:r>
        <w:rPr>
          <w:rFonts w:hint="eastAsia"/>
        </w:rPr>
        <w:t>年提高退休人员基本养老金水平，城镇企业退休养老金提高至人均每月</w:t>
      </w:r>
      <w:r>
        <w:t>2664</w:t>
      </w:r>
      <w:r>
        <w:rPr>
          <w:rFonts w:hint="eastAsia"/>
        </w:rPr>
        <w:t>元，城乡居民退休养老金提高至人均每月</w:t>
      </w:r>
      <w:r>
        <w:t>145</w:t>
      </w:r>
      <w:r>
        <w:rPr>
          <w:rFonts w:hint="eastAsia"/>
        </w:rPr>
        <w:t>元。全面实施医保全民参保计划，基本医疗保险综合参保率达</w:t>
      </w:r>
      <w:r>
        <w:t>99.6%</w:t>
      </w:r>
      <w:r>
        <w:rPr>
          <w:rFonts w:hint="eastAsia"/>
        </w:rPr>
        <w:t>。投入资金</w:t>
      </w:r>
      <w:r>
        <w:t>4300</w:t>
      </w:r>
      <w:r>
        <w:rPr>
          <w:rFonts w:hint="eastAsia"/>
        </w:rPr>
        <w:t>万元，落实城市公交</w:t>
      </w:r>
      <w:r>
        <w:t>IC</w:t>
      </w:r>
      <w:r>
        <w:rPr>
          <w:rFonts w:hint="eastAsia"/>
        </w:rPr>
        <w:t>卡特殊人群免费乘车补贴、高龄老人补贴等政策。加大养老服务设施投入，新建</w:t>
      </w:r>
      <w:r>
        <w:t>52</w:t>
      </w:r>
      <w:r>
        <w:rPr>
          <w:rFonts w:hint="eastAsia"/>
        </w:rPr>
        <w:t>个社区养老服务站、</w:t>
      </w:r>
      <w:r>
        <w:t>4</w:t>
      </w:r>
      <w:r>
        <w:rPr>
          <w:rFonts w:hint="eastAsia"/>
        </w:rPr>
        <w:t>个街道养老服务中心。加快完善公共卫生服务体系，全力支持打赢疫情防控攻坚战。投入资金</w:t>
      </w:r>
      <w:r>
        <w:t>1.6</w:t>
      </w:r>
      <w:r>
        <w:rPr>
          <w:rFonts w:hint="eastAsia"/>
        </w:rPr>
        <w:t>亿元，落实患者医疗救治费用、疫情防控人员临时性工作补助、疫情防控设备和物资供应等系列政策。累计投入创卫专项资金</w:t>
      </w:r>
      <w:r>
        <w:t>3.1</w:t>
      </w:r>
      <w:r>
        <w:rPr>
          <w:rFonts w:hint="eastAsia"/>
        </w:rPr>
        <w:t>亿元，支持成功创建国家卫生区。推动文化体育事业发展，投入资金</w:t>
      </w:r>
      <w:r>
        <w:t>1.5</w:t>
      </w:r>
      <w:r>
        <w:rPr>
          <w:rFonts w:hint="eastAsia"/>
        </w:rPr>
        <w:t>亿元，支持博物馆、聂帅馆陈列布展建设，支持公共文化体育设施免费或低收费开放，提档升级体育场馆公共设施，支持举办“滨江之夏”系列活动，启动清源宫、国立女子示范学校旧址等文物保护修缮工程和石门大佛寺摩崖造像保护利用等项目建设。推进人居环境整治，完善农村配套设施。安排资金</w:t>
      </w:r>
      <w:r>
        <w:t>1.2</w:t>
      </w:r>
      <w:r>
        <w:rPr>
          <w:rFonts w:hint="eastAsia"/>
        </w:rPr>
        <w:t>亿元，</w:t>
      </w:r>
      <w:r>
        <w:rPr>
          <w:rFonts w:hint="eastAsia" w:ascii="方正仿宋_GBK"/>
          <w:szCs w:val="32"/>
        </w:rPr>
        <w:t>打造农村垃圾分类示范村</w:t>
      </w:r>
      <w:r>
        <w:rPr>
          <w:szCs w:val="32"/>
        </w:rPr>
        <w:t>8</w:t>
      </w:r>
      <w:r>
        <w:rPr>
          <w:rFonts w:hint="eastAsia" w:ascii="方正仿宋_GBK"/>
          <w:szCs w:val="32"/>
        </w:rPr>
        <w:t>个</w:t>
      </w:r>
      <w:r>
        <w:rPr>
          <w:rFonts w:hint="eastAsia"/>
        </w:rPr>
        <w:t>，建成“四好”农村公路</w:t>
      </w:r>
      <w:r>
        <w:t>486</w:t>
      </w:r>
      <w:r>
        <w:rPr>
          <w:rFonts w:hint="eastAsia"/>
        </w:rPr>
        <w:t>公里，完成入户道路建设</w:t>
      </w:r>
      <w:r>
        <w:t>165</w:t>
      </w:r>
      <w:r>
        <w:rPr>
          <w:rFonts w:hint="eastAsia"/>
        </w:rPr>
        <w:t>公里，完成农村卫生厕所改造</w:t>
      </w:r>
      <w:r>
        <w:t>16878</w:t>
      </w:r>
      <w:r>
        <w:rPr>
          <w:rFonts w:hint="eastAsia"/>
        </w:rPr>
        <w:t>户。加大基本住房保障力度，支持棚改开工建设</w:t>
      </w:r>
      <w:r>
        <w:t>300</w:t>
      </w:r>
      <w:r>
        <w:rPr>
          <w:rFonts w:hint="eastAsia"/>
        </w:rPr>
        <w:t>套，完成农村危房改造</w:t>
      </w:r>
      <w:r>
        <w:rPr>
          <w:szCs w:val="32"/>
        </w:rPr>
        <w:t>3334</w:t>
      </w:r>
      <w:r>
        <w:rPr>
          <w:rFonts w:hint="eastAsia"/>
        </w:rPr>
        <w:t>户，老旧小区改造</w:t>
      </w:r>
      <w:r>
        <w:t>27130</w:t>
      </w:r>
      <w:r>
        <w:rPr>
          <w:rFonts w:hint="eastAsia"/>
        </w:rPr>
        <w:t>户。加强社会治安防控，投入资金</w:t>
      </w:r>
      <w:r>
        <w:t>1.04</w:t>
      </w:r>
      <w:r>
        <w:rPr>
          <w:rFonts w:hint="eastAsia"/>
        </w:rPr>
        <w:t>亿元，加快推进“雪亮工程”建设。</w:t>
      </w:r>
    </w:p>
    <w:p>
      <w:pPr>
        <w:spacing w:line="579" w:lineRule="exact"/>
        <w:ind w:firstLine="640" w:firstLineChars="200"/>
        <w:rPr>
          <w:rFonts w:ascii="方正楷体_GBK" w:eastAsia="方正楷体_GBK"/>
        </w:rPr>
      </w:pPr>
      <w:r>
        <w:rPr>
          <w:rFonts w:hint="eastAsia" w:ascii="方正楷体_GBK" w:eastAsia="方正楷体_GBK"/>
        </w:rPr>
        <w:t>（三）统筹推进“三大攻坚战”，决胜全面建成小康社会。</w:t>
      </w:r>
    </w:p>
    <w:p>
      <w:pPr>
        <w:spacing w:line="579" w:lineRule="exact"/>
        <w:ind w:firstLine="640" w:firstLineChars="200"/>
      </w:pPr>
      <w:r>
        <w:rPr>
          <w:rFonts w:hint="eastAsia"/>
        </w:rPr>
        <w:t>强化风险防控，做好库款日常监测预警工作，合理调控库款规模和保障水平，确保国库资金不断链；加强债务管控，严格债务限额和成本控制，充分利用展期、置换等措施，稳妥化解存量债务，坚决遏制违规新增政府债务。深入推进涉农资金整合，统筹资金</w:t>
      </w:r>
      <w:r>
        <w:t>11.3</w:t>
      </w:r>
      <w:r>
        <w:rPr>
          <w:rFonts w:hint="eastAsia"/>
        </w:rPr>
        <w:t>亿元，强化财政对贫困村和特殊贫困群体脱贫攻坚的投入力度，着力解决影响“两不愁三保障”突出问题，保障产业扶贫、社保兜底、教育资助、危房改造、易地扶贫搬迁后续扶持等扶贫政策执行。实施扶贫资金动态监控，加强扶贫项目资金的监督检查，全面落实扶贫巡视“回头看”和国家脱贫成效考核整改。加大污染防治投入力度，安排资金</w:t>
      </w:r>
      <w:r>
        <w:t>1.64</w:t>
      </w:r>
      <w:r>
        <w:rPr>
          <w:rFonts w:hint="eastAsia"/>
        </w:rPr>
        <w:t>亿元，深入实施“环保五大行动”，推进餐厨和生活垃圾收运处置，城市生活垃圾无害化处置率达到</w:t>
      </w:r>
      <w:r>
        <w:t>100%</w:t>
      </w:r>
      <w:r>
        <w:rPr>
          <w:rFonts w:hint="eastAsia"/>
        </w:rPr>
        <w:t>。投入资金</w:t>
      </w:r>
      <w:r>
        <w:t>2</w:t>
      </w:r>
      <w:r>
        <w:rPr>
          <w:rFonts w:hint="eastAsia"/>
        </w:rPr>
        <w:t>亿元，撬动社会资本</w:t>
      </w:r>
      <w:r>
        <w:t>8</w:t>
      </w:r>
      <w:r>
        <w:rPr>
          <w:rFonts w:hint="eastAsia"/>
        </w:rPr>
        <w:t>亿元，加快推进长江生态屏障建设，实施人工造林、低效林改造</w:t>
      </w:r>
      <w:r>
        <w:t>10</w:t>
      </w:r>
      <w:r>
        <w:rPr>
          <w:rFonts w:hint="eastAsia"/>
        </w:rPr>
        <w:t>万亩，重点景区公路绿化</w:t>
      </w:r>
      <w:r>
        <w:t>0.8</w:t>
      </w:r>
      <w:r>
        <w:rPr>
          <w:rFonts w:hint="eastAsia"/>
        </w:rPr>
        <w:t>万亩；支持长江干流、綦河流域江津段和笋溪河、璧南河等重点河流综合治理，完成畜禽养殖搬迁</w:t>
      </w:r>
      <w:r>
        <w:t>145</w:t>
      </w:r>
      <w:r>
        <w:rPr>
          <w:rFonts w:hint="eastAsia"/>
        </w:rPr>
        <w:t>户，改（扩）建城镇污水处理厂（站）</w:t>
      </w:r>
      <w:r>
        <w:t>24</w:t>
      </w:r>
      <w:r>
        <w:rPr>
          <w:rFonts w:hint="eastAsia"/>
        </w:rPr>
        <w:t>座。</w:t>
      </w:r>
    </w:p>
    <w:p>
      <w:pPr>
        <w:spacing w:line="579" w:lineRule="exact"/>
        <w:ind w:firstLine="640" w:firstLineChars="200"/>
        <w:rPr>
          <w:rFonts w:ascii="方正楷体_GBK" w:eastAsia="方正楷体_GBK"/>
        </w:rPr>
      </w:pPr>
      <w:r>
        <w:rPr>
          <w:rFonts w:hint="eastAsia" w:ascii="方正楷体_GBK" w:eastAsia="方正楷体_GBK"/>
        </w:rPr>
        <w:t>（四）深化财政管理改革，提升预算执行效能。</w:t>
      </w:r>
    </w:p>
    <w:p>
      <w:pPr>
        <w:spacing w:line="579" w:lineRule="exact"/>
        <w:ind w:firstLine="640" w:firstLineChars="200"/>
      </w:pPr>
      <w:r>
        <w:rPr>
          <w:rFonts w:hint="eastAsia"/>
        </w:rPr>
        <w:t>建立健全预算公开评审长效管理机制，将评审范围从年初预算拓展到预算执行，从源头上规范预算支出，强化预算约束。妥善处理减收增支矛盾，不断优化支出结构，从严控制“三公经费”和一般性支出，</w:t>
      </w:r>
      <w:r>
        <w:t>2020</w:t>
      </w:r>
      <w:r>
        <w:rPr>
          <w:rFonts w:hint="eastAsia"/>
        </w:rPr>
        <w:t>年各部门、国有企业的公务用车购置一律暂停，各部门课题经费、规划经费和培训经费整体压减</w:t>
      </w:r>
      <w:r>
        <w:t>30%</w:t>
      </w:r>
      <w:r>
        <w:rPr>
          <w:rFonts w:hint="eastAsia"/>
        </w:rPr>
        <w:t>，确保医疗、教育、社会保障等基本公共服务支出只增不减。全面实施预算绩效管理，开展绩效自评项目</w:t>
      </w:r>
      <w:r>
        <w:t>1420</w:t>
      </w:r>
      <w:r>
        <w:rPr>
          <w:rFonts w:hint="eastAsia"/>
        </w:rPr>
        <w:t>个，涉及资金</w:t>
      </w:r>
      <w:r>
        <w:t>116</w:t>
      </w:r>
      <w:r>
        <w:rPr>
          <w:rFonts w:hint="eastAsia"/>
        </w:rPr>
        <w:t>亿元；对农村危房改造、乡村振兴、工业和信息化等</w:t>
      </w:r>
      <w:r>
        <w:t>13</w:t>
      </w:r>
      <w:r>
        <w:rPr>
          <w:rFonts w:hint="eastAsia"/>
        </w:rPr>
        <w:t>个项目开展重点绩效评价，涉及资金</w:t>
      </w:r>
      <w:r>
        <w:t>7.87</w:t>
      </w:r>
      <w:r>
        <w:rPr>
          <w:rFonts w:hint="eastAsia"/>
        </w:rPr>
        <w:t>亿元。深化“放管服”改革，推动全区财政电子票据和非税收入收缴改革，上线运行公共缴费平台，实现对非税收缴的全流程监控，大大降低了企业和群众办事成本。深化国库集中支付改革，对除公务卡和现金以外的财政性资金支付业务取消财政支付纸质凭证，实现了支付无纸化单轨运行。开展财务监督改革试点，试点上线运行电子报账监督系统，运用财务大数据手段，逐步实现纪检监察、财政、审计部门对行政事业单位财务管理全流程监督。结合预算单位精简调整方案，清理规范全区预算单位银行账户，及时收回各类垫付及暂存资金</w:t>
      </w:r>
      <w:r>
        <w:t>0.83</w:t>
      </w:r>
      <w:r>
        <w:rPr>
          <w:rFonts w:hint="eastAsia"/>
        </w:rPr>
        <w:t>亿元。以满足疫情防控工作为首要目标，实施便利化政府采购，为使用财政性资金采购疫情防控相关货物、工程和服务的主体开辟绿色通道。强化会计监督检查，对全区</w:t>
      </w:r>
      <w:r>
        <w:t>22</w:t>
      </w:r>
      <w:r>
        <w:rPr>
          <w:rFonts w:hint="eastAsia"/>
        </w:rPr>
        <w:t>家行政事业单位的会计信息质量、</w:t>
      </w:r>
      <w:r>
        <w:t>9</w:t>
      </w:r>
      <w:r>
        <w:rPr>
          <w:rFonts w:hint="eastAsia"/>
        </w:rPr>
        <w:t>家行政事业单位的政府采购工作开展专项检查。开展政府投资项目评审管理改革，进一步优化政府投资工程评审办法，规范政府投资项目复查审核，有效降低项目建设成本。</w:t>
      </w:r>
    </w:p>
    <w:p>
      <w:pPr>
        <w:numPr>
          <w:ilvl w:val="0"/>
          <w:numId w:val="3"/>
        </w:numPr>
        <w:spacing w:line="579" w:lineRule="exact"/>
        <w:ind w:firstLine="640" w:firstLineChars="200"/>
        <w:rPr>
          <w:rFonts w:ascii="宋体" w:hAnsi="宋体" w:eastAsia="方正黑体_GBK"/>
        </w:rPr>
      </w:pPr>
      <w:r>
        <w:rPr>
          <w:rFonts w:hint="eastAsia" w:ascii="宋体" w:hAnsi="宋体" w:eastAsia="方正黑体_GBK"/>
        </w:rPr>
        <w:t>认真落实各项财税政策，促进高质量发展</w:t>
      </w:r>
    </w:p>
    <w:p>
      <w:pPr>
        <w:spacing w:line="579" w:lineRule="exact"/>
        <w:ind w:firstLine="640" w:firstLineChars="200"/>
        <w:rPr>
          <w:rFonts w:ascii="宋体" w:eastAsia="宋体"/>
          <w:szCs w:val="32"/>
        </w:rPr>
      </w:pPr>
      <w:r>
        <w:rPr>
          <w:rFonts w:hint="eastAsia" w:ascii="宋体" w:hAnsi="宋体"/>
        </w:rPr>
        <w:t>下一步，我们</w:t>
      </w:r>
      <w:r>
        <w:rPr>
          <w:rFonts w:hint="eastAsia" w:ascii="宋体" w:hAnsi="宋体"/>
          <w:szCs w:val="32"/>
        </w:rPr>
        <w:t>将按照区委的决策部署，坚持稳中求进工作总基调，坚持新发展理念，围绕推动高质量发展，重点做好以下工作：</w:t>
      </w:r>
    </w:p>
    <w:p>
      <w:pPr>
        <w:spacing w:line="579" w:lineRule="exact"/>
        <w:ind w:firstLine="640" w:firstLineChars="200"/>
        <w:rPr>
          <w:rFonts w:ascii="方正楷体_GBK" w:eastAsia="方正楷体_GBK"/>
        </w:rPr>
      </w:pPr>
      <w:r>
        <w:rPr>
          <w:rFonts w:hint="eastAsia" w:ascii="方正楷体_GBK" w:eastAsia="方正楷体_GBK"/>
        </w:rPr>
        <w:t>（一）聚力“开源节流”，促进全区财政平稳运行。</w:t>
      </w:r>
    </w:p>
    <w:p>
      <w:pPr>
        <w:spacing w:line="579" w:lineRule="exact"/>
        <w:ind w:firstLine="640" w:firstLineChars="200"/>
      </w:pPr>
      <w:r>
        <w:rPr>
          <w:rFonts w:hint="eastAsia"/>
        </w:rPr>
        <w:t>坚持以供给侧结构性改革为主线，综合运用减税降费、专项资金等政策工具，优化营商环境，培育壮大税源经济。强化税收征管，充分发挥综合治税信息平台和税警联合办案机制的积极作用，抓好重点行业和重点企业税收征管，确保做到依法征收，应收尽收。加强“三资”统筹管理和使用，积极盘活政府存量资产，合理把握土地出让进度，促进财政收入持续稳定增长。分解压实各执收部门责任，强化收入执行动态分析，加强财政运行调度，确保圆满完成预期目标。硬化预算约束，减少和规范预算变动事项，严控年度增支，未纳入预算安排的项目一律不得组织实施，坚决防止在执行中随意“开口子”。优化支出结构，以政府过紧日子为引领，大力压减一般性开支，勤俭办一切事业，调整低效、无效的支出，加大对民生实事、重点领域、重点项目的保障力度，做到有保有压，有促有控，确保实现财政收支平衡。</w:t>
      </w:r>
    </w:p>
    <w:p>
      <w:pPr>
        <w:spacing w:line="579" w:lineRule="exact"/>
        <w:ind w:firstLine="640" w:firstLineChars="200"/>
        <w:rPr>
          <w:rFonts w:ascii="方正楷体_GBK" w:eastAsia="方正楷体_GBK"/>
        </w:rPr>
      </w:pPr>
      <w:r>
        <w:rPr>
          <w:rFonts w:hint="eastAsia" w:ascii="方正楷体_GBK" w:eastAsia="方正楷体_GBK"/>
        </w:rPr>
        <w:t>（二）聚力“关键重点”，推动财政政策提力增效。</w:t>
      </w:r>
    </w:p>
    <w:p>
      <w:pPr>
        <w:spacing w:line="579" w:lineRule="exact"/>
        <w:ind w:firstLine="640" w:firstLineChars="200"/>
      </w:pPr>
      <w:r>
        <w:rPr>
          <w:rFonts w:hint="eastAsia"/>
        </w:rPr>
        <w:t>立足“一轴两翼”同城发展新格局，统筹整合资金、资源和资产，支持打造产城融合、以城带工、错位发展的产业集群。优化科技投入结构和支持方向，加快推动传统产业转型升级和新兴产业发展壮大，增强高质量发展动能。坚持新发展理念，全力支持团结湖大数据产业园、陆海新通道江津综保区冷链产业园等建设。巩固拓展精准脱贫成果，做好脱贫攻坚与乡村振兴政策衔接，加大财政支农政策投入。突出保基本、兜底线，加大力度补齐民生短板，强化就业、教育、养老、医疗、住房保障、扶弱等方面投入，推进民生实事落地见效。强基建促发展，多渠道筹集资金，着力推动一批重大基础设施项目建设，加快推进江津与主城都市区及周边城市的互联互通。积极支持生态环保和污染防治，做好大气、水体、土壤污染防治和生态修复工作，发挥长江经济带绿色发展示范作用。</w:t>
      </w:r>
    </w:p>
    <w:p>
      <w:pPr>
        <w:spacing w:line="579" w:lineRule="exact"/>
        <w:ind w:firstLine="640" w:firstLineChars="200"/>
        <w:rPr>
          <w:rFonts w:ascii="方正楷体_GBK" w:eastAsia="方正楷体_GBK"/>
        </w:rPr>
      </w:pPr>
      <w:r>
        <w:rPr>
          <w:rFonts w:hint="eastAsia" w:ascii="方正楷体_GBK" w:eastAsia="方正楷体_GBK"/>
        </w:rPr>
        <w:t>（三）聚力“风险防控”，保障全区经济行稳致远。</w:t>
      </w:r>
    </w:p>
    <w:p>
      <w:pPr>
        <w:spacing w:line="579" w:lineRule="exact"/>
        <w:ind w:firstLine="640" w:firstLineChars="200"/>
      </w:pPr>
      <w:r>
        <w:rPr>
          <w:rFonts w:hint="eastAsia"/>
        </w:rPr>
        <w:t>坚守底线思维，严格落实债务限额和成本管理，确保全区债务风险总体可控。支持滨江新城、综保区开发建司提高主体信用评级，推动华信集团转型重组，降低国有企业总体负债率。压实各级各单位债务偿还责任，定期开展债务违约风险台账排查，准确评估债务风险和还款压力，稳妥推动存量政府债务化解。统筹考虑发展和控债、需要和可能、当前和长远的关系，把控好支出安排节奏，着力优化财政资源配置，确保财政持续稳定运行。支持粮食应急供应保障体系、应急救援体系和消防安全监管体系建设，持续推进警务大数据建设，切实防范和化解社会风险。严肃财经纪律，加大财政监督检查力度，严查资金使用中的跑冒滴漏、骗补浪费问题，积极整改各级监督指出问题，提高依法理财水平，切实防范廉政风险。</w:t>
      </w:r>
    </w:p>
    <w:p>
      <w:pPr>
        <w:spacing w:line="579" w:lineRule="exact"/>
        <w:ind w:firstLine="640" w:firstLineChars="200"/>
        <w:rPr>
          <w:rFonts w:ascii="方正楷体_GBK" w:eastAsia="方正楷体_GBK"/>
        </w:rPr>
      </w:pPr>
      <w:r>
        <w:rPr>
          <w:rFonts w:hint="eastAsia" w:ascii="方正楷体_GBK" w:eastAsia="方正楷体_GBK"/>
        </w:rPr>
        <w:t>（四）聚力“改革增效”，推进财政管理改革纵深发展。</w:t>
      </w:r>
    </w:p>
    <w:p>
      <w:pPr>
        <w:spacing w:line="579" w:lineRule="exact"/>
        <w:ind w:firstLine="640" w:firstLineChars="200"/>
      </w:pPr>
      <w:r>
        <w:rPr>
          <w:rFonts w:hint="eastAsia"/>
        </w:rPr>
        <w:t>紧紧围绕“全方位、全过程、全覆盖”的要求，全面推进预算绩效管理，探索建立重大政策和项目绩效评估机制，试点部门整体绩效目标管理，强化绩效评价结果应用，建立完善绩效结果反馈整改制度，实现绩效评价与支出挂钩管理。加强预算执行监督，在实现人大联网监督的基础上，全面推广电子报账监督系统，畅通监督渠道，实现审计、纪委等部门对财政资金使用的适时和全过程监督。积极探索投资评审新模式，着力提升评审质量，建立对中介机构监督管理的有效办法。深化预算管理改革，推进全区预算管理一体化建设，将制度规范与信息系统建设紧密结合，通过规则嵌入系统强化制度执行力，为完善标准科学、规范透明、约束有力的预算制度提供基础保障。</w:t>
      </w:r>
    </w:p>
    <w:p>
      <w:pPr>
        <w:spacing w:line="579" w:lineRule="exact"/>
        <w:ind w:firstLine="640" w:firstLineChars="200"/>
        <w:rPr>
          <w:rFonts w:ascii="宋体" w:eastAsia="宋体"/>
        </w:rPr>
      </w:pPr>
    </w:p>
    <w:p>
      <w:pPr>
        <w:spacing w:line="579" w:lineRule="exact"/>
        <w:ind w:firstLine="640" w:firstLineChars="200"/>
        <w:rPr>
          <w:rFonts w:ascii="宋体" w:eastAsia="宋体"/>
        </w:rPr>
      </w:pPr>
      <w:r>
        <w:rPr>
          <w:rFonts w:hint="eastAsia" w:ascii="宋体" w:hAnsi="宋体"/>
        </w:rPr>
        <w:t>附件：</w:t>
      </w:r>
      <w:r>
        <w:rPr>
          <w:rFonts w:ascii="宋体" w:hAnsi="宋体"/>
        </w:rPr>
        <w:t>1</w:t>
      </w:r>
      <w:r>
        <w:rPr>
          <w:rFonts w:hint="eastAsia" w:ascii="宋体" w:hAnsi="宋体"/>
          <w:lang w:val="en-US" w:eastAsia="zh-CN"/>
        </w:rPr>
        <w:t>.</w:t>
      </w:r>
      <w:r>
        <w:rPr>
          <w:rFonts w:hint="eastAsia" w:ascii="宋体" w:hAnsi="宋体"/>
        </w:rPr>
        <w:t>说明</w:t>
      </w:r>
    </w:p>
    <w:p>
      <w:pPr>
        <w:spacing w:line="579" w:lineRule="exact"/>
        <w:ind w:firstLine="1600" w:firstLineChars="500"/>
        <w:rPr>
          <w:rFonts w:ascii="宋体" w:eastAsia="宋体"/>
        </w:rPr>
      </w:pPr>
      <w:r>
        <w:rPr>
          <w:rFonts w:ascii="宋体" w:hAnsi="宋体"/>
        </w:rPr>
        <w:t>2</w:t>
      </w:r>
      <w:r>
        <w:rPr>
          <w:rFonts w:hint="eastAsia" w:ascii="宋体" w:hAnsi="宋体"/>
          <w:lang w:val="en-US" w:eastAsia="zh-CN"/>
        </w:rPr>
        <w:t>.</w:t>
      </w:r>
      <w:r>
        <w:rPr>
          <w:rFonts w:ascii="宋体" w:hAnsi="宋体"/>
        </w:rPr>
        <w:t>2020</w:t>
      </w:r>
      <w:r>
        <w:rPr>
          <w:rFonts w:hint="eastAsia" w:ascii="宋体" w:hAnsi="宋体"/>
        </w:rPr>
        <w:t>年区级一般公共预算收支决算表</w:t>
      </w:r>
    </w:p>
    <w:p>
      <w:pPr>
        <w:spacing w:line="579" w:lineRule="exact"/>
        <w:ind w:left="1600" w:leftChars="500"/>
        <w:rPr>
          <w:rFonts w:ascii="宋体" w:eastAsia="宋体"/>
        </w:rPr>
      </w:pPr>
      <w:r>
        <w:rPr>
          <w:rFonts w:ascii="宋体" w:hAnsi="宋体"/>
        </w:rPr>
        <w:t>3</w:t>
      </w:r>
      <w:r>
        <w:rPr>
          <w:rFonts w:hint="eastAsia" w:ascii="宋体" w:hAnsi="宋体"/>
          <w:lang w:val="en-US" w:eastAsia="zh-CN"/>
        </w:rPr>
        <w:t>.</w:t>
      </w:r>
      <w:r>
        <w:rPr>
          <w:rFonts w:ascii="宋体" w:hAnsi="宋体"/>
        </w:rPr>
        <w:t>2020</w:t>
      </w:r>
      <w:r>
        <w:rPr>
          <w:rFonts w:hint="eastAsia" w:ascii="宋体" w:hAnsi="宋体"/>
        </w:rPr>
        <w:t>年区级一般公共预算本级支出决算表（按功能分类科目）</w:t>
      </w:r>
    </w:p>
    <w:p>
      <w:pPr>
        <w:spacing w:line="579" w:lineRule="exact"/>
        <w:ind w:left="1600" w:leftChars="500"/>
        <w:rPr>
          <w:rFonts w:ascii="宋体" w:eastAsia="宋体"/>
        </w:rPr>
      </w:pPr>
      <w:r>
        <w:rPr>
          <w:rFonts w:ascii="宋体" w:hAnsi="宋体"/>
        </w:rPr>
        <w:t>4</w:t>
      </w:r>
      <w:r>
        <w:rPr>
          <w:rFonts w:hint="eastAsia" w:ascii="宋体" w:hAnsi="宋体"/>
        </w:rPr>
        <w:t>．</w:t>
      </w:r>
      <w:r>
        <w:rPr>
          <w:rFonts w:ascii="宋体" w:hAnsi="宋体"/>
        </w:rPr>
        <w:t>2020</w:t>
      </w:r>
      <w:r>
        <w:rPr>
          <w:rFonts w:hint="eastAsia" w:ascii="宋体" w:hAnsi="宋体"/>
        </w:rPr>
        <w:t>年区级一般公共预算本级基本支出决算表（按经济分类科目）</w:t>
      </w:r>
    </w:p>
    <w:p>
      <w:pPr>
        <w:spacing w:line="579" w:lineRule="exact"/>
        <w:ind w:left="1600" w:leftChars="500"/>
        <w:rPr>
          <w:rFonts w:ascii="宋体" w:eastAsia="宋体"/>
        </w:rPr>
      </w:pPr>
      <w:r>
        <w:rPr>
          <w:rFonts w:ascii="宋体" w:hAnsi="宋体"/>
        </w:rPr>
        <w:t>5</w:t>
      </w:r>
      <w:r>
        <w:rPr>
          <w:rFonts w:hint="eastAsia" w:ascii="宋体" w:hAnsi="宋体"/>
          <w:lang w:val="en-US" w:eastAsia="zh-CN"/>
        </w:rPr>
        <w:t>.</w:t>
      </w:r>
      <w:r>
        <w:rPr>
          <w:rFonts w:ascii="宋体" w:hAnsi="宋体"/>
        </w:rPr>
        <w:t>2020</w:t>
      </w:r>
      <w:r>
        <w:rPr>
          <w:rFonts w:hint="eastAsia" w:ascii="宋体" w:hAnsi="宋体"/>
        </w:rPr>
        <w:t>年区级一般公共预算转移支付收支决算表</w:t>
      </w:r>
      <w:r>
        <w:rPr>
          <w:rFonts w:ascii="宋体" w:hAnsi="宋体"/>
        </w:rPr>
        <w:t>6</w:t>
      </w:r>
      <w:r>
        <w:rPr>
          <w:rFonts w:hint="eastAsia" w:ascii="宋体" w:hAnsi="宋体"/>
        </w:rPr>
        <w:t>．</w:t>
      </w:r>
      <w:r>
        <w:rPr>
          <w:rFonts w:ascii="宋体" w:hAnsi="宋体"/>
        </w:rPr>
        <w:t>2020</w:t>
      </w:r>
      <w:r>
        <w:rPr>
          <w:rFonts w:hint="eastAsia" w:ascii="宋体" w:hAnsi="宋体"/>
        </w:rPr>
        <w:t>年区级一般公共预算转移支付支出决算表</w:t>
      </w:r>
      <w:r>
        <w:rPr>
          <w:rFonts w:ascii="宋体" w:hAnsi="宋体"/>
        </w:rPr>
        <w:t>(</w:t>
      </w:r>
      <w:r>
        <w:rPr>
          <w:rFonts w:hint="eastAsia" w:ascii="宋体" w:hAnsi="宋体"/>
        </w:rPr>
        <w:t>分</w:t>
      </w:r>
    </w:p>
    <w:p>
      <w:pPr>
        <w:spacing w:line="579" w:lineRule="exact"/>
        <w:ind w:firstLine="1920" w:firstLineChars="600"/>
        <w:rPr>
          <w:rFonts w:ascii="宋体" w:eastAsia="宋体"/>
        </w:rPr>
      </w:pPr>
      <w:r>
        <w:rPr>
          <w:rFonts w:hint="eastAsia" w:ascii="宋体" w:hAnsi="宋体"/>
        </w:rPr>
        <w:t>地区）</w:t>
      </w:r>
    </w:p>
    <w:p>
      <w:pPr>
        <w:spacing w:line="579" w:lineRule="exact"/>
        <w:ind w:left="1600" w:leftChars="500"/>
        <w:rPr>
          <w:rFonts w:ascii="宋体" w:eastAsia="宋体"/>
        </w:rPr>
      </w:pPr>
      <w:r>
        <w:rPr>
          <w:rFonts w:ascii="宋体" w:hAnsi="宋体"/>
        </w:rPr>
        <w:t>7</w:t>
      </w:r>
      <w:r>
        <w:rPr>
          <w:rFonts w:hint="eastAsia" w:ascii="宋体" w:hAnsi="宋体"/>
        </w:rPr>
        <w:t>．</w:t>
      </w:r>
      <w:r>
        <w:rPr>
          <w:rFonts w:ascii="宋体" w:hAnsi="宋体"/>
        </w:rPr>
        <w:t>2020</w:t>
      </w:r>
      <w:r>
        <w:rPr>
          <w:rFonts w:hint="eastAsia" w:ascii="宋体" w:hAnsi="宋体"/>
        </w:rPr>
        <w:t>年区级一般公共预算转移支付支出决算表（分</w:t>
      </w:r>
    </w:p>
    <w:p>
      <w:pPr>
        <w:spacing w:line="579" w:lineRule="exact"/>
        <w:ind w:firstLine="1920" w:firstLineChars="600"/>
        <w:rPr>
          <w:rFonts w:ascii="宋体" w:eastAsia="宋体"/>
        </w:rPr>
      </w:pPr>
      <w:r>
        <w:rPr>
          <w:rFonts w:hint="eastAsia" w:ascii="宋体" w:hAnsi="宋体"/>
        </w:rPr>
        <w:t>项目）</w:t>
      </w:r>
    </w:p>
    <w:p>
      <w:pPr>
        <w:spacing w:line="579" w:lineRule="exact"/>
        <w:ind w:left="1600" w:leftChars="500"/>
        <w:rPr>
          <w:rFonts w:ascii="宋体" w:eastAsia="宋体"/>
        </w:rPr>
      </w:pPr>
      <w:r>
        <w:rPr>
          <w:rFonts w:ascii="宋体" w:hAnsi="宋体"/>
        </w:rPr>
        <w:t>8</w:t>
      </w:r>
      <w:r>
        <w:rPr>
          <w:rFonts w:hint="eastAsia" w:ascii="宋体" w:hAnsi="宋体"/>
        </w:rPr>
        <w:t>．</w:t>
      </w:r>
      <w:r>
        <w:rPr>
          <w:rFonts w:ascii="宋体" w:hAnsi="宋体"/>
        </w:rPr>
        <w:t>2020</w:t>
      </w:r>
      <w:r>
        <w:rPr>
          <w:rFonts w:hint="eastAsia" w:ascii="宋体" w:hAnsi="宋体"/>
        </w:rPr>
        <w:t>年区级政府性基金预算收支决算表</w:t>
      </w:r>
    </w:p>
    <w:p>
      <w:pPr>
        <w:spacing w:line="579" w:lineRule="exact"/>
        <w:ind w:left="1600" w:leftChars="500"/>
        <w:rPr>
          <w:rFonts w:ascii="宋体" w:eastAsia="宋体"/>
        </w:rPr>
      </w:pPr>
      <w:r>
        <w:rPr>
          <w:rFonts w:ascii="宋体" w:hAnsi="宋体"/>
        </w:rPr>
        <w:t>9</w:t>
      </w:r>
      <w:r>
        <w:rPr>
          <w:rFonts w:hint="eastAsia" w:ascii="宋体" w:hAnsi="宋体"/>
        </w:rPr>
        <w:t>．</w:t>
      </w:r>
      <w:r>
        <w:rPr>
          <w:rFonts w:ascii="宋体" w:hAnsi="宋体"/>
        </w:rPr>
        <w:t>2020</w:t>
      </w:r>
      <w:r>
        <w:rPr>
          <w:rFonts w:hint="eastAsia" w:ascii="宋体" w:hAnsi="宋体"/>
        </w:rPr>
        <w:t>年区级政府性基金预算本级支出决算表</w:t>
      </w:r>
      <w:r>
        <w:rPr>
          <w:rFonts w:ascii="宋体" w:hAnsi="宋体"/>
        </w:rPr>
        <w:t>10</w:t>
      </w:r>
      <w:r>
        <w:rPr>
          <w:rFonts w:hint="eastAsia" w:ascii="宋体" w:hAnsi="宋体"/>
        </w:rPr>
        <w:t>．</w:t>
      </w:r>
      <w:r>
        <w:rPr>
          <w:rFonts w:ascii="宋体" w:hAnsi="宋体"/>
        </w:rPr>
        <w:t>2020</w:t>
      </w:r>
      <w:r>
        <w:rPr>
          <w:rFonts w:hint="eastAsia" w:ascii="宋体" w:hAnsi="宋体"/>
        </w:rPr>
        <w:t>年区级政府性基金预算转移支付收支决算表</w:t>
      </w:r>
    </w:p>
    <w:p>
      <w:pPr>
        <w:spacing w:line="579" w:lineRule="exact"/>
        <w:ind w:left="1600" w:leftChars="500"/>
        <w:rPr>
          <w:rFonts w:ascii="宋体" w:eastAsia="宋体"/>
        </w:rPr>
      </w:pPr>
      <w:r>
        <w:rPr>
          <w:rFonts w:ascii="宋体" w:hAnsi="宋体"/>
        </w:rPr>
        <w:t>11</w:t>
      </w:r>
      <w:r>
        <w:rPr>
          <w:rFonts w:hint="eastAsia" w:ascii="宋体" w:hAnsi="宋体"/>
        </w:rPr>
        <w:t>．</w:t>
      </w:r>
      <w:r>
        <w:rPr>
          <w:rFonts w:ascii="宋体" w:hAnsi="宋体"/>
        </w:rPr>
        <w:t>2020</w:t>
      </w:r>
      <w:r>
        <w:rPr>
          <w:rFonts w:hint="eastAsia" w:ascii="宋体" w:hAnsi="宋体"/>
        </w:rPr>
        <w:t>年区级国有资本经营预算收支决算表</w:t>
      </w:r>
    </w:p>
    <w:p>
      <w:pPr>
        <w:numPr>
          <w:ilvl w:val="0"/>
          <w:numId w:val="4"/>
        </w:numPr>
        <w:spacing w:line="579" w:lineRule="exact"/>
        <w:ind w:left="1600" w:leftChars="500"/>
        <w:rPr>
          <w:rFonts w:ascii="宋体" w:eastAsia="宋体"/>
        </w:rPr>
      </w:pPr>
      <w:r>
        <w:rPr>
          <w:rFonts w:ascii="宋体" w:hAnsi="宋体"/>
        </w:rPr>
        <w:t>2020</w:t>
      </w:r>
      <w:r>
        <w:rPr>
          <w:rFonts w:hint="eastAsia" w:ascii="宋体" w:hAnsi="宋体"/>
        </w:rPr>
        <w:t>年全区社会保险基金预算收支决算表</w:t>
      </w:r>
    </w:p>
    <w:p>
      <w:pPr>
        <w:numPr>
          <w:ilvl w:val="0"/>
          <w:numId w:val="4"/>
        </w:numPr>
        <w:spacing w:line="579" w:lineRule="exact"/>
        <w:ind w:left="1600" w:leftChars="500"/>
        <w:rPr>
          <w:rFonts w:ascii="宋体" w:eastAsia="宋体"/>
        </w:rPr>
      </w:pPr>
      <w:r>
        <w:rPr>
          <w:rFonts w:ascii="宋体" w:hAnsi="宋体"/>
        </w:rPr>
        <w:t>2020</w:t>
      </w:r>
      <w:r>
        <w:rPr>
          <w:rFonts w:hint="eastAsia" w:ascii="宋体" w:hAnsi="宋体"/>
        </w:rPr>
        <w:t>年江津区社会保险基金支出决算表</w:t>
      </w:r>
    </w:p>
    <w:p>
      <w:pPr>
        <w:numPr>
          <w:ilvl w:val="0"/>
          <w:numId w:val="4"/>
        </w:numPr>
        <w:spacing w:line="579" w:lineRule="exact"/>
        <w:ind w:left="1600" w:leftChars="500"/>
        <w:rPr>
          <w:rFonts w:ascii="宋体" w:eastAsia="宋体"/>
        </w:rPr>
      </w:pPr>
      <w:r>
        <w:rPr>
          <w:rFonts w:ascii="宋体" w:hAnsi="宋体"/>
        </w:rPr>
        <w:t>2020</w:t>
      </w:r>
      <w:r>
        <w:rPr>
          <w:rFonts w:hint="eastAsia" w:ascii="宋体" w:hAnsi="宋体"/>
        </w:rPr>
        <w:t>年江津区社会保险基金结余决算表</w:t>
      </w:r>
    </w:p>
    <w:p>
      <w:pPr>
        <w:spacing w:line="579" w:lineRule="exact"/>
        <w:ind w:left="1600" w:leftChars="500"/>
        <w:rPr>
          <w:rFonts w:ascii="宋体" w:eastAsia="宋体"/>
        </w:rPr>
      </w:pPr>
      <w:r>
        <w:rPr>
          <w:rFonts w:ascii="宋体" w:hAnsi="宋体"/>
        </w:rPr>
        <w:t>15</w:t>
      </w:r>
      <w:r>
        <w:rPr>
          <w:rFonts w:hint="eastAsia" w:ascii="宋体" w:hAnsi="宋体"/>
        </w:rPr>
        <w:t>．</w:t>
      </w:r>
      <w:r>
        <w:rPr>
          <w:rFonts w:ascii="宋体" w:hAnsi="宋体"/>
        </w:rPr>
        <w:t>2020</w:t>
      </w:r>
      <w:r>
        <w:rPr>
          <w:rFonts w:hint="eastAsia" w:ascii="宋体" w:hAnsi="宋体"/>
        </w:rPr>
        <w:t>年江津区政府债务限额及余额决算情况表</w:t>
      </w:r>
    </w:p>
    <w:p>
      <w:pPr>
        <w:spacing w:line="579" w:lineRule="exact"/>
        <w:ind w:firstLine="1600" w:firstLineChars="500"/>
        <w:rPr>
          <w:rFonts w:ascii="宋体" w:eastAsia="宋体"/>
        </w:rPr>
      </w:pPr>
      <w:r>
        <w:rPr>
          <w:rFonts w:ascii="宋体" w:hAnsi="宋体"/>
        </w:rPr>
        <w:t>16</w:t>
      </w:r>
      <w:r>
        <w:rPr>
          <w:rFonts w:hint="eastAsia" w:ascii="宋体" w:hAnsi="宋体"/>
        </w:rPr>
        <w:t>．</w:t>
      </w:r>
      <w:r>
        <w:rPr>
          <w:rFonts w:ascii="宋体" w:hAnsi="宋体"/>
        </w:rPr>
        <w:t>2020</w:t>
      </w:r>
      <w:r>
        <w:rPr>
          <w:rFonts w:hint="eastAsia" w:ascii="宋体" w:hAnsi="宋体"/>
        </w:rPr>
        <w:t>年江津区债券资金使用情况表</w:t>
      </w:r>
    </w:p>
    <w:p>
      <w:pPr>
        <w:spacing w:line="579" w:lineRule="exact"/>
        <w:ind w:firstLine="1600" w:firstLineChars="500"/>
        <w:rPr>
          <w:rFonts w:ascii="宋体" w:eastAsia="宋体"/>
        </w:rPr>
      </w:pPr>
      <w:r>
        <w:rPr>
          <w:rFonts w:ascii="宋体" w:hAnsi="宋体"/>
        </w:rPr>
        <w:t>17</w:t>
      </w:r>
      <w:r>
        <w:rPr>
          <w:rFonts w:hint="eastAsia" w:ascii="宋体" w:hAnsi="宋体"/>
        </w:rPr>
        <w:t>．</w:t>
      </w:r>
      <w:r>
        <w:rPr>
          <w:rFonts w:ascii="宋体" w:hAnsi="宋体"/>
        </w:rPr>
        <w:t>2020</w:t>
      </w:r>
      <w:r>
        <w:rPr>
          <w:rFonts w:hint="eastAsia" w:ascii="宋体" w:hAnsi="宋体"/>
        </w:rPr>
        <w:t>年江津区政府债务相关情况表</w:t>
      </w:r>
    </w:p>
    <w:p>
      <w:pPr>
        <w:tabs>
          <w:tab w:val="left" w:pos="0"/>
        </w:tabs>
        <w:spacing w:line="579" w:lineRule="exact"/>
        <w:ind w:left="1600" w:leftChars="500"/>
        <w:rPr>
          <w:rFonts w:ascii="宋体" w:eastAsia="宋体"/>
        </w:rPr>
      </w:pPr>
      <w:r>
        <w:rPr>
          <w:rFonts w:ascii="宋体" w:hAnsi="宋体"/>
        </w:rPr>
        <w:t>18</w:t>
      </w:r>
      <w:r>
        <w:rPr>
          <w:rFonts w:hint="eastAsia" w:ascii="宋体" w:hAnsi="宋体"/>
        </w:rPr>
        <w:t>．</w:t>
      </w:r>
      <w:r>
        <w:rPr>
          <w:rFonts w:ascii="宋体" w:hAnsi="宋体"/>
        </w:rPr>
        <w:t>2020</w:t>
      </w:r>
      <w:r>
        <w:rPr>
          <w:rFonts w:hint="eastAsia" w:ascii="宋体" w:hAnsi="宋体"/>
        </w:rPr>
        <w:t>年“三公”经费支出决算汇总表</w:t>
      </w:r>
    </w:p>
    <w:p>
      <w:pPr>
        <w:spacing w:line="579" w:lineRule="exact"/>
        <w:ind w:firstLine="630"/>
        <w:rPr>
          <w:rFonts w:ascii="宋体" w:eastAsia="宋体"/>
          <w:color w:val="000000"/>
        </w:rPr>
      </w:pPr>
    </w:p>
    <w:sectPr>
      <w:footerReference r:id="rId3" w:type="default"/>
      <w:footerReference r:id="rId4" w:type="even"/>
      <w:pgSz w:w="11907" w:h="16840"/>
      <w:pgMar w:top="2098" w:right="1474" w:bottom="1985" w:left="1588" w:header="851" w:footer="1474" w:gutter="0"/>
      <w:pgNumType w:fmt="numberInDash"/>
      <w:cols w:space="720" w:num="1"/>
      <w:docGrid w:type="lines" w:linePitch="579" w:charSpace="-8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Fonts w:ascii="宋体" w:eastAsia="宋体"/>
        <w:sz w:val="28"/>
        <w:szCs w:val="28"/>
      </w:rPr>
    </w:pPr>
    <w:r>
      <w:rPr>
        <w:rStyle w:val="12"/>
        <w:rFonts w:ascii="宋体" w:eastAsia="宋体"/>
        <w:sz w:val="28"/>
        <w:szCs w:val="28"/>
      </w:rPr>
      <w:fldChar w:fldCharType="begin"/>
    </w:r>
    <w:r>
      <w:rPr>
        <w:rStyle w:val="12"/>
        <w:rFonts w:ascii="宋体" w:eastAsia="宋体"/>
        <w:sz w:val="28"/>
        <w:szCs w:val="28"/>
      </w:rPr>
      <w:instrText xml:space="preserve">Page</w:instrText>
    </w:r>
    <w:r>
      <w:rPr>
        <w:rStyle w:val="12"/>
        <w:rFonts w:ascii="宋体" w:eastAsia="宋体"/>
        <w:sz w:val="28"/>
        <w:szCs w:val="28"/>
      </w:rPr>
      <w:fldChar w:fldCharType="separate"/>
    </w:r>
    <w:r>
      <w:rPr>
        <w:rStyle w:val="12"/>
        <w:rFonts w:ascii="宋体" w:eastAsia="宋体"/>
        <w:sz w:val="28"/>
        <w:szCs w:val="28"/>
      </w:rPr>
      <w:t>- 21 -</w:t>
    </w:r>
    <w:r>
      <w:rPr>
        <w:rStyle w:val="12"/>
        <w:rFonts w:ascii="宋体" w:eastAsia="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598A12"/>
    <w:multiLevelType w:val="singleLevel"/>
    <w:tmpl w:val="A1598A12"/>
    <w:lvl w:ilvl="0" w:tentative="0">
      <w:start w:val="12"/>
      <w:numFmt w:val="decimal"/>
      <w:suff w:val="space"/>
      <w:lvlText w:val="%1."/>
      <w:lvlJc w:val="left"/>
      <w:pPr>
        <w:tabs>
          <w:tab w:val="left" w:pos="0"/>
        </w:tabs>
      </w:pPr>
      <w:rPr>
        <w:rFonts w:cs="Times New Roman"/>
      </w:rPr>
    </w:lvl>
  </w:abstractNum>
  <w:abstractNum w:abstractNumId="1">
    <w:nsid w:val="1992924E"/>
    <w:multiLevelType w:val="singleLevel"/>
    <w:tmpl w:val="1992924E"/>
    <w:lvl w:ilvl="0" w:tentative="0">
      <w:start w:val="3"/>
      <w:numFmt w:val="chineseCounting"/>
      <w:suff w:val="nothing"/>
      <w:lvlText w:val="%1、"/>
      <w:lvlJc w:val="left"/>
      <w:pPr>
        <w:tabs>
          <w:tab w:val="left" w:pos="0"/>
        </w:tabs>
      </w:pPr>
      <w:rPr>
        <w:rFonts w:hint="eastAsia" w:cs="Times New Roman"/>
      </w:rPr>
    </w:lvl>
  </w:abstractNum>
  <w:abstractNum w:abstractNumId="2">
    <w:nsid w:val="1E3921F5"/>
    <w:multiLevelType w:val="singleLevel"/>
    <w:tmpl w:val="1E3921F5"/>
    <w:lvl w:ilvl="0" w:tentative="0">
      <w:start w:val="1"/>
      <w:numFmt w:val="decimal"/>
      <w:suff w:val="nothing"/>
      <w:lvlText w:val="（%1）"/>
      <w:lvlJc w:val="left"/>
      <w:pPr>
        <w:tabs>
          <w:tab w:val="left" w:pos="0"/>
        </w:tabs>
      </w:pPr>
      <w:rPr>
        <w:rFonts w:cs="Times New Roman"/>
      </w:rPr>
    </w:lvl>
  </w:abstractNum>
  <w:abstractNum w:abstractNumId="3">
    <w:nsid w:val="51F17040"/>
    <w:multiLevelType w:val="singleLevel"/>
    <w:tmpl w:val="51F17040"/>
    <w:lvl w:ilvl="0" w:tentative="0">
      <w:start w:val="3"/>
      <w:numFmt w:val="decimal"/>
      <w:suff w:val="nothing"/>
      <w:lvlText w:val="%1．"/>
      <w:lvlJc w:val="left"/>
      <w:pPr>
        <w:tabs>
          <w:tab w:val="left" w:pos="0"/>
        </w:tabs>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57"/>
  <w:drawingGridVerticalSpacing w:val="289"/>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9A"/>
    <w:rsid w:val="00005563"/>
    <w:rsid w:val="000E2A29"/>
    <w:rsid w:val="00127C01"/>
    <w:rsid w:val="002A580E"/>
    <w:rsid w:val="002F7D3B"/>
    <w:rsid w:val="00317097"/>
    <w:rsid w:val="00322E51"/>
    <w:rsid w:val="00A32D14"/>
    <w:rsid w:val="00DE329A"/>
    <w:rsid w:val="03A4457B"/>
    <w:rsid w:val="21A60D8A"/>
    <w:rsid w:val="295C471F"/>
    <w:rsid w:val="303206DC"/>
    <w:rsid w:val="32BB48A8"/>
    <w:rsid w:val="43E41AAA"/>
    <w:rsid w:val="5ABC22B9"/>
    <w:rsid w:val="61835169"/>
    <w:rsid w:val="7A5230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link w:val="13"/>
    <w:qFormat/>
    <w:uiPriority w:val="99"/>
    <w:pPr>
      <w:keepNext/>
      <w:keepLines/>
      <w:spacing w:line="560" w:lineRule="exact"/>
      <w:ind w:firstLine="200" w:firstLineChars="200"/>
      <w:outlineLvl w:val="0"/>
    </w:pPr>
    <w:rPr>
      <w:rFonts w:ascii="Calibri" w:hAnsi="Calibri" w:eastAsia="黑体"/>
      <w:b/>
      <w:bCs/>
      <w:kern w:val="44"/>
      <w:szCs w:val="44"/>
    </w:rPr>
  </w:style>
  <w:style w:type="paragraph" w:styleId="3">
    <w:name w:val="heading 2"/>
    <w:basedOn w:val="1"/>
    <w:next w:val="1"/>
    <w:link w:val="14"/>
    <w:qFormat/>
    <w:uiPriority w:val="99"/>
    <w:pPr>
      <w:keepNext/>
      <w:keepLines/>
      <w:spacing w:line="560" w:lineRule="exact"/>
      <w:ind w:firstLine="200" w:firstLineChars="200"/>
      <w:outlineLvl w:val="1"/>
    </w:pPr>
    <w:rPr>
      <w:rFonts w:ascii="Calibri Light" w:hAnsi="Calibri Light" w:eastAsia="楷体"/>
      <w:b/>
      <w:bCs/>
      <w:szCs w:val="32"/>
    </w:rPr>
  </w:style>
  <w:style w:type="paragraph" w:styleId="4">
    <w:name w:val="heading 3"/>
    <w:basedOn w:val="1"/>
    <w:next w:val="1"/>
    <w:link w:val="15"/>
    <w:qFormat/>
    <w:uiPriority w:val="99"/>
    <w:pPr>
      <w:keepNext/>
      <w:keepLines/>
      <w:spacing w:before="260" w:after="260" w:line="415" w:lineRule="auto"/>
      <w:outlineLvl w:val="2"/>
    </w:pPr>
    <w:rPr>
      <w:b/>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qFormat/>
    <w:uiPriority w:val="99"/>
    <w:rPr>
      <w:sz w:val="18"/>
      <w:szCs w:val="18"/>
    </w:rPr>
  </w:style>
  <w:style w:type="paragraph" w:styleId="6">
    <w:name w:val="footer"/>
    <w:basedOn w:val="1"/>
    <w:link w:val="17"/>
    <w:qFormat/>
    <w:uiPriority w:val="99"/>
    <w:pPr>
      <w:tabs>
        <w:tab w:val="center" w:pos="4153"/>
        <w:tab w:val="right" w:pos="8307"/>
      </w:tabs>
      <w:snapToGrid w:val="0"/>
      <w:jc w:val="left"/>
    </w:pPr>
    <w:rPr>
      <w:sz w:val="18"/>
    </w:rPr>
  </w:style>
  <w:style w:type="paragraph" w:styleId="7">
    <w:name w:val="header"/>
    <w:basedOn w:val="1"/>
    <w:link w:val="18"/>
    <w:uiPriority w:val="99"/>
    <w:pPr>
      <w:pBdr>
        <w:bottom w:val="single" w:color="auto" w:sz="6" w:space="1"/>
      </w:pBdr>
      <w:tabs>
        <w:tab w:val="center" w:pos="4153"/>
        <w:tab w:val="right" w:pos="8307"/>
      </w:tabs>
      <w:snapToGrid w:val="0"/>
      <w:jc w:val="center"/>
    </w:pPr>
    <w:rPr>
      <w:sz w:val="18"/>
    </w:rPr>
  </w:style>
  <w:style w:type="paragraph" w:styleId="8">
    <w:name w:val="Normal (Web)"/>
    <w:basedOn w:val="1"/>
    <w:qFormat/>
    <w:uiPriority w:val="99"/>
    <w:pPr>
      <w:spacing w:before="100" w:beforeAutospacing="1" w:after="100" w:afterAutospacing="1"/>
      <w:jc w:val="left"/>
    </w:pPr>
    <w:rPr>
      <w:rFonts w:ascii="宋体" w:eastAsia="宋体"/>
      <w:sz w:val="24"/>
      <w:szCs w:val="20"/>
    </w:rPr>
  </w:style>
  <w:style w:type="character" w:styleId="11">
    <w:name w:val="Strong"/>
    <w:basedOn w:val="10"/>
    <w:qFormat/>
    <w:uiPriority w:val="99"/>
    <w:rPr>
      <w:rFonts w:cs="Times New Roman"/>
      <w:b/>
    </w:rPr>
  </w:style>
  <w:style w:type="character" w:styleId="12">
    <w:name w:val="page number"/>
    <w:basedOn w:val="10"/>
    <w:uiPriority w:val="99"/>
    <w:rPr>
      <w:rFonts w:cs="Times New Roman"/>
    </w:rPr>
  </w:style>
  <w:style w:type="character" w:customStyle="1" w:styleId="13">
    <w:name w:val="Heading 1 Char"/>
    <w:basedOn w:val="10"/>
    <w:link w:val="2"/>
    <w:qFormat/>
    <w:locked/>
    <w:uiPriority w:val="99"/>
    <w:rPr>
      <w:rFonts w:eastAsia="方正仿宋_GBK" w:cs="Times New Roman"/>
      <w:b/>
      <w:bCs/>
      <w:kern w:val="44"/>
      <w:sz w:val="44"/>
      <w:szCs w:val="44"/>
    </w:rPr>
  </w:style>
  <w:style w:type="character" w:customStyle="1" w:styleId="14">
    <w:name w:val="Heading 2 Char"/>
    <w:basedOn w:val="10"/>
    <w:link w:val="3"/>
    <w:semiHidden/>
    <w:qFormat/>
    <w:locked/>
    <w:uiPriority w:val="99"/>
    <w:rPr>
      <w:rFonts w:ascii="Cambria" w:hAnsi="Cambria" w:eastAsia="宋体" w:cs="Times New Roman"/>
      <w:b/>
      <w:bCs/>
      <w:sz w:val="32"/>
      <w:szCs w:val="32"/>
    </w:rPr>
  </w:style>
  <w:style w:type="character" w:customStyle="1" w:styleId="15">
    <w:name w:val="Heading 3 Char"/>
    <w:basedOn w:val="10"/>
    <w:link w:val="4"/>
    <w:semiHidden/>
    <w:qFormat/>
    <w:locked/>
    <w:uiPriority w:val="99"/>
    <w:rPr>
      <w:rFonts w:eastAsia="方正仿宋_GBK" w:cs="Times New Roman"/>
      <w:b/>
      <w:bCs/>
      <w:sz w:val="32"/>
      <w:szCs w:val="32"/>
    </w:rPr>
  </w:style>
  <w:style w:type="character" w:customStyle="1" w:styleId="16">
    <w:name w:val="Balloon Text Char"/>
    <w:basedOn w:val="10"/>
    <w:link w:val="5"/>
    <w:semiHidden/>
    <w:qFormat/>
    <w:locked/>
    <w:uiPriority w:val="99"/>
    <w:rPr>
      <w:rFonts w:eastAsia="方正仿宋_GBK" w:cs="Times New Roman"/>
      <w:sz w:val="2"/>
    </w:rPr>
  </w:style>
  <w:style w:type="character" w:customStyle="1" w:styleId="17">
    <w:name w:val="Footer Char"/>
    <w:basedOn w:val="10"/>
    <w:link w:val="6"/>
    <w:semiHidden/>
    <w:qFormat/>
    <w:locked/>
    <w:uiPriority w:val="99"/>
    <w:rPr>
      <w:rFonts w:eastAsia="方正仿宋_GBK" w:cs="Times New Roman"/>
      <w:sz w:val="18"/>
      <w:szCs w:val="18"/>
    </w:rPr>
  </w:style>
  <w:style w:type="character" w:customStyle="1" w:styleId="18">
    <w:name w:val="Header Char"/>
    <w:basedOn w:val="10"/>
    <w:link w:val="7"/>
    <w:semiHidden/>
    <w:qFormat/>
    <w:locked/>
    <w:uiPriority w:val="99"/>
    <w:rPr>
      <w:rFonts w:eastAsia="方正仿宋_GBK" w:cs="Times New Roman"/>
      <w:sz w:val="18"/>
      <w:szCs w:val="18"/>
    </w:rPr>
  </w:style>
  <w:style w:type="paragraph" w:customStyle="1" w:styleId="19">
    <w:name w:val="列出段落1"/>
    <w:next w:val="6"/>
    <w:qFormat/>
    <w:uiPriority w:val="99"/>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0">
    <w:name w:val="列出段落11"/>
    <w:next w:val="6"/>
    <w:qFormat/>
    <w:uiPriority w:val="99"/>
    <w:pPr>
      <w:widowControl w:val="0"/>
      <w:ind w:firstLine="200" w:firstLineChars="20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1721</Words>
  <Characters>9812</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2018-03-13T08:17:00Z</dcterms:created>
  <dc:creator>AutoBVT</dc:creator>
  <cp:lastModifiedBy>gyb1</cp:lastModifiedBy>
  <cp:lastPrinted>2020-07-27T02:16:00Z</cp:lastPrinted>
  <dcterms:modified xsi:type="dcterms:W3CDTF">2024-01-25T09:02:20Z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