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79" w:lineRule="exact"/>
        <w:rPr>
          <w:rFonts w:ascii="宋体" w:eastAsia="方正仿宋_GBK" w:cs="方正仿宋_GBK" w:hAnsi="宋体"/>
          <w:sz w:val="44"/>
          <w:szCs w:val="44"/>
        </w:rPr>
      </w:pPr>
    </w:p>
    <w:p>
      <w:pPr>
        <w:spacing w:line="579" w:lineRule="exact"/>
        <w:ind w:firstLineChars="250" w:firstLine="1100"/>
        <w:jc w:val="center"/>
        <w:rPr>
          <w:rFonts w:ascii="宋体" w:eastAsia="方正小标宋_GBK" w:cs="方正小标宋_GBK" w:hAnsi="宋体"/>
          <w:sz w:val="44"/>
          <w:szCs w:val="44"/>
        </w:rPr>
      </w:pPr>
      <w:r>
        <w:rPr>
          <w:rFonts w:ascii="宋体" w:eastAsia="方正小标宋_GBK" w:cs="方正小标宋_GBK" w:hAnsi="宋体" w:hint="eastAsia"/>
          <w:sz w:val="44"/>
          <w:szCs w:val="44"/>
        </w:rPr>
        <w:t>重庆市</w:t>
      </w:r>
      <w:r>
        <w:rPr>
          <w:rFonts w:ascii="方正小标宋_GBK" w:eastAsia="方正小标宋_GBK" w:cs="方正小标宋_GBK" w:hint="eastAsia"/>
          <w:sz w:val="44"/>
          <w:szCs w:val="44"/>
        </w:rPr>
        <w:t>城市公用事业管理所</w:t>
      </w:r>
    </w:p>
    <w:p>
      <w:pPr>
        <w:spacing w:line="579" w:lineRule="exact"/>
        <w:ind w:firstLineChars="250" w:firstLine="1100"/>
        <w:jc w:val="center"/>
        <w:rPr>
          <w:rFonts w:ascii="宋体" w:eastAsia="方正小标宋_GBK" w:cs="方正小标宋_GBK" w:hAnsi="宋体"/>
          <w:sz w:val="44"/>
          <w:szCs w:val="44"/>
        </w:rPr>
      </w:pPr>
      <w:r>
        <w:rPr>
          <w:rFonts w:ascii="宋体" w:eastAsia="方正小标宋_GBK" w:cs="方正小标宋_GBK" w:hAnsi="宋体" w:hint="eastAsia"/>
          <w:sz w:val="44"/>
          <w:szCs w:val="44"/>
        </w:rPr>
        <w:t>2024年度决算公开说明</w:t>
      </w:r>
    </w:p>
    <w:p>
      <w:pPr>
        <w:spacing w:line="579" w:lineRule="exact"/>
        <w:ind w:firstLineChars="250" w:firstLine="1100"/>
        <w:rPr>
          <w:rFonts w:ascii="宋体" w:eastAsia="方正仿宋_GBK" w:cs="方正仿宋_GBK" w:hAnsi="宋体"/>
          <w:sz w:val="44"/>
          <w:szCs w:val="44"/>
        </w:rPr>
      </w:pPr>
    </w:p>
    <w:p>
      <w:pPr>
        <w:pStyle w:val="20"/>
        <w:tabs>
          <w:tab w:val="center" w:pos="4153"/>
          <w:tab w:val="left" w:pos="7275"/>
        </w:tabs>
        <w:spacing w:line="579" w:lineRule="exact"/>
        <w:outlineLvl w:val="0"/>
        <w:rPr>
          <w:rFonts w:ascii="宋体" w:eastAsia="方正黑体_GBK" w:cs="方正黑体_GBK" w:hAnsi="宋体"/>
          <w:sz w:val="32"/>
          <w:szCs w:val="32"/>
        </w:rPr>
      </w:pPr>
      <w:r>
        <w:rPr>
          <w:rFonts w:ascii="宋体" w:eastAsia="方正黑体_GBK" w:cs="方正黑体_GBK" w:hAnsi="宋体" w:hint="eastAsia"/>
          <w:sz w:val="32"/>
          <w:szCs w:val="32"/>
        </w:rPr>
        <w:t>一、单位基本情况</w:t>
      </w:r>
    </w:p>
    <w:p>
      <w:pPr>
        <w:spacing w:line="579" w:lineRule="exact"/>
        <w:ind w:firstLineChars="200" w:firstLine="640"/>
        <w:outlineLvl w:val="1"/>
        <w:rPr>
          <w:rFonts w:ascii="宋体" w:eastAsia="方正楷体_GBK" w:cs="方正楷体_GBK" w:hAnsi="宋体"/>
          <w:kern w:val="0"/>
          <w:sz w:val="32"/>
          <w:szCs w:val="32"/>
        </w:rPr>
      </w:pPr>
      <w:r>
        <w:rPr>
          <w:rFonts w:ascii="宋体" w:eastAsia="方正楷体_GBK" w:cs="方正楷体_GBK" w:hAnsi="宋体" w:hint="eastAsia"/>
          <w:kern w:val="0"/>
          <w:sz w:val="32"/>
          <w:szCs w:val="32"/>
        </w:rPr>
        <w:t>（一）职能职责</w:t>
      </w:r>
    </w:p>
    <w:p>
      <w:pPr>
        <w:spacing w:line="579" w:lineRule="exact"/>
        <w:ind w:firstLineChars="200" w:firstLine="640"/>
        <w:rPr>
          <w:rFonts w:ascii="宋体" w:eastAsia="方正仿宋_GBK" w:cs="方正仿宋_GBK" w:hAnsi="宋体"/>
          <w:kern w:val="0"/>
          <w:sz w:val="32"/>
          <w:szCs w:val="32"/>
        </w:rPr>
      </w:pPr>
      <w:r>
        <w:rPr>
          <w:rFonts w:ascii="方正仿宋_GBK" w:eastAsia="方正仿宋_GBK" w:cs="仿宋_GB2312" w:hint="eastAsia"/>
          <w:sz w:val="32"/>
        </w:rPr>
        <w:t>贯彻执行有关市政园林管理方面的法律、法规、规章和方针政策；负责城区主干道、重要节点和大型广场的市政设施、园林绿化的升级和改造；负责我区水域环境卫生清漂打捞作业；负责城区大型桥梁、</w:t>
      </w:r>
      <w:r>
        <w:rPr>
          <w:rFonts w:ascii="方正仿宋_GBK" w:eastAsia="方正仿宋_GBK" w:cs="仿宋_GB2312"/>
          <w:sz w:val="32"/>
        </w:rPr>
        <w:t>隧道</w:t>
      </w:r>
      <w:r>
        <w:rPr>
          <w:rFonts w:ascii="方正仿宋_GBK" w:eastAsia="方正仿宋_GBK" w:cs="仿宋_GB2312" w:hint="eastAsia"/>
          <w:sz w:val="32"/>
        </w:rPr>
        <w:t>、设施的养护维修和管理；负责全区园林“三创”及城镇城区古树名木的申报、城市大型公园的管理承办城区范围的市政、园林、环卫配套设施项目的方案评审、审查和验收等具体事务</w:t>
      </w:r>
      <w:r>
        <w:rPr>
          <w:rFonts w:ascii="方正仿宋_GBK" w:eastAsia="方正仿宋_GBK" w:cs="方正仿宋_GBK" w:hint="eastAsia"/>
          <w:sz w:val="32"/>
        </w:rPr>
        <w:t>。</w:t>
      </w:r>
    </w:p>
    <w:p>
      <w:pPr>
        <w:numPr>
          <w:ilvl w:val="0"/>
          <w:numId w:val="1"/>
        </w:numPr>
        <w:spacing w:line="579" w:lineRule="exact"/>
        <w:ind w:left="0" w:firstLineChars="200" w:firstLine="640"/>
        <w:outlineLvl w:val="1"/>
        <w:rPr>
          <w:rFonts w:ascii="宋体" w:eastAsia="方正楷体_GBK" w:cs="方正楷体_GBK" w:hAnsi="宋体"/>
          <w:kern w:val="0"/>
          <w:sz w:val="32"/>
          <w:szCs w:val="32"/>
        </w:rPr>
      </w:pPr>
      <w:r>
        <w:rPr>
          <w:rFonts w:ascii="宋体" w:eastAsia="方正楷体_GBK" w:cs="方正楷体_GBK" w:hAnsi="宋体" w:hint="eastAsia"/>
          <w:kern w:val="0"/>
          <w:sz w:val="32"/>
          <w:szCs w:val="32"/>
        </w:rPr>
        <w:t>机构设置</w:t>
      </w:r>
    </w:p>
    <w:p>
      <w:pPr>
        <w:spacing w:line="579" w:lineRule="exact"/>
        <w:ind w:firstLineChars="200" w:firstLine="640"/>
        <w:rPr>
          <w:rFonts w:ascii="宋体" w:eastAsia="方正仿宋_GBK" w:cs="方正仿宋_GBK" w:hAnsi="宋体"/>
          <w:kern w:val="0"/>
          <w:sz w:val="32"/>
          <w:szCs w:val="32"/>
        </w:rPr>
      </w:pPr>
      <w:r>
        <w:rPr>
          <w:rFonts w:eastAsia="仿宋_GB2312"/>
          <w:sz w:val="32"/>
        </w:rPr>
        <w:t>重庆市</w:t>
      </w:r>
      <w:r>
        <w:rPr>
          <w:rFonts w:ascii="方正仿宋_GBK" w:eastAsia="方正仿宋_GBK" w:cs="方正仿宋_GBK" w:hint="eastAsia"/>
          <w:sz w:val="32"/>
        </w:rPr>
        <w:t>江津区城市公用事业管理所属全额拨款正科级事业单位，隶属于江津区城市管理局。编制部门核定单位事业编制人数为29人，实有在职职工27人，退休职工28人，设3科（设施科、公园科、水域科）1室（办公室）</w:t>
      </w:r>
      <w:r>
        <w:rPr>
          <w:rFonts w:ascii="宋体" w:eastAsia="方正仿宋_GBK" w:cs="方正仿宋_GBK" w:hAnsi="宋体" w:hint="eastAsia"/>
          <w:kern w:val="0"/>
          <w:sz w:val="32"/>
          <w:szCs w:val="32"/>
        </w:rPr>
        <w:t>。</w:t>
      </w:r>
    </w:p>
    <w:p>
      <w:pPr>
        <w:numPr>
          <w:ilvl w:val="0"/>
          <w:numId w:val="2"/>
        </w:numPr>
        <w:spacing w:line="579" w:lineRule="exact"/>
        <w:ind w:left="0" w:firstLineChars="200" w:firstLine="640"/>
        <w:outlineLvl w:val="0"/>
        <w:rPr>
          <w:rFonts w:ascii="宋体" w:eastAsia="方正黑体_GBK" w:cs="方正黑体_GBK" w:hAnsi="宋体"/>
          <w:sz w:val="32"/>
          <w:szCs w:val="32"/>
        </w:rPr>
      </w:pPr>
      <w:r>
        <w:rPr>
          <w:rFonts w:ascii="宋体" w:eastAsia="方正黑体_GBK" w:cs="方正黑体_GBK" w:hAnsi="宋体" w:hint="eastAsia"/>
          <w:sz w:val="32"/>
          <w:szCs w:val="32"/>
        </w:rPr>
        <w:t>部门决算情况</w:t>
      </w:r>
    </w:p>
    <w:p>
      <w:pPr>
        <w:numPr>
          <w:ilvl w:val="0"/>
          <w:numId w:val="3"/>
        </w:numPr>
        <w:spacing w:line="579" w:lineRule="exact"/>
        <w:ind w:left="0" w:firstLineChars="200" w:firstLine="640"/>
        <w:outlineLvl w:val="1"/>
        <w:rPr>
          <w:rFonts w:ascii="宋体" w:eastAsia="方正楷体_GBK" w:cs="方正楷体_GBK" w:hAnsi="宋体"/>
          <w:sz w:val="32"/>
          <w:szCs w:val="32"/>
        </w:rPr>
      </w:pPr>
      <w:r>
        <w:rPr>
          <w:rFonts w:ascii="宋体" w:eastAsia="方正楷体_GBK" w:cs="方正楷体_GBK" w:hAnsi="宋体" w:hint="eastAsia"/>
          <w:sz w:val="32"/>
          <w:szCs w:val="32"/>
        </w:rPr>
        <w:t>部门收支总体情况</w:t>
      </w:r>
    </w:p>
    <w:p>
      <w:pPr>
        <w:numPr>
          <w:ilvl w:val="0"/>
          <w:numId w:val="4"/>
        </w:numPr>
        <w:spacing w:line="579" w:lineRule="exact"/>
        <w:ind w:left="0" w:firstLineChars="200" w:firstLine="640"/>
        <w:rPr>
          <w:rFonts w:ascii="宋体" w:eastAsia="方正仿宋_GBK" w:cs="方正仿宋_GBK" w:hAnsi="宋体"/>
          <w:b/>
          <w:bCs/>
          <w:sz w:val="32"/>
          <w:szCs w:val="32"/>
        </w:rPr>
      </w:pPr>
      <w:r>
        <w:rPr>
          <w:rFonts w:ascii="宋体" w:eastAsia="方正仿宋_GBK" w:cs="方正仿宋_GBK" w:hAnsi="宋体" w:hint="eastAsia"/>
          <w:b/>
          <w:bCs/>
          <w:sz w:val="32"/>
          <w:szCs w:val="32"/>
        </w:rPr>
        <w:t>收入支出总体情况。</w:t>
      </w:r>
      <w:r>
        <w:rPr>
          <w:rFonts w:ascii="宋体" w:eastAsia="方正仿宋_GBK" w:cs="方正仿宋_GBK" w:hAnsi="宋体" w:hint="eastAsia"/>
          <w:sz w:val="32"/>
          <w:szCs w:val="32"/>
        </w:rPr>
        <w:t>2024年度收入总计</w:t>
      </w:r>
      <w:r>
        <w:rPr>
          <w:rFonts w:ascii="方正仿宋_GBK" w:eastAsia="方正仿宋_GBK" w:cs="方正仿宋_GBK"/>
          <w:sz w:val="32"/>
          <w:szCs w:val="32"/>
          <w:shd w:val="clear" w:color="auto" w:fill="FFFFFF"/>
        </w:rPr>
        <w:t>2655.47</w:t>
      </w:r>
      <w:r>
        <w:rPr>
          <w:rFonts w:ascii="宋体" w:eastAsia="方正仿宋_GBK" w:cs="方正仿宋_GBK" w:hAnsi="宋体" w:hint="eastAsia"/>
          <w:sz w:val="32"/>
          <w:szCs w:val="32"/>
        </w:rPr>
        <w:t>万元，支出总计</w:t>
      </w:r>
      <w:r>
        <w:rPr>
          <w:rFonts w:ascii="方正仿宋_GBK" w:eastAsia="方正仿宋_GBK" w:cs="方正仿宋_GBK"/>
          <w:sz w:val="32"/>
          <w:szCs w:val="32"/>
        </w:rPr>
        <w:t>2655.47</w:t>
      </w:r>
      <w:r>
        <w:rPr>
          <w:rFonts w:ascii="宋体" w:eastAsia="方正仿宋_GBK" w:cs="方正仿宋_GBK" w:hAnsi="宋体" w:hint="eastAsia"/>
          <w:sz w:val="32"/>
          <w:szCs w:val="32"/>
        </w:rPr>
        <w:t>万元。收支较上年增加</w:t>
      </w:r>
      <w:r>
        <w:rPr>
          <w:rFonts w:ascii="方正仿宋_GBK" w:eastAsia="方正仿宋_GBK" w:cs="方正仿宋_GBK"/>
          <w:sz w:val="32"/>
          <w:szCs w:val="32"/>
          <w:shd w:val="clear" w:color="auto" w:fill="FFFFFF"/>
        </w:rPr>
        <w:t>278.66</w:t>
      </w:r>
      <w:r>
        <w:rPr>
          <w:rFonts w:ascii="宋体" w:eastAsia="方正仿宋_GBK" w:cs="方正仿宋_GBK" w:hAnsi="宋体" w:hint="eastAsia"/>
          <w:sz w:val="32"/>
          <w:szCs w:val="32"/>
        </w:rPr>
        <w:t>万元，</w:t>
      </w:r>
      <w:r>
        <w:rPr>
          <w:rFonts w:ascii="宋体" w:eastAsia="方正仿宋_GBK" w:cs="方正仿宋_GBK" w:hAnsi="宋体" w:hint="eastAsia"/>
          <w:sz w:val="32"/>
        </w:rPr>
        <w:t>增长</w:t>
      </w:r>
      <w:r>
        <w:rPr>
          <w:rFonts w:ascii="方正仿宋_GBK" w:eastAsia="方正仿宋_GBK" w:cs="方正仿宋_GBK"/>
          <w:sz w:val="32"/>
          <w:szCs w:val="32"/>
          <w:shd w:val="clear" w:color="auto" w:fill="FFFFFF"/>
        </w:rPr>
        <w:t>11.7</w:t>
      </w:r>
      <w:r>
        <w:rPr>
          <w:rFonts w:ascii="宋体" w:eastAsia="方正仿宋_GBK" w:cs="方正仿宋_GBK" w:hAnsi="宋体" w:hint="eastAsia"/>
          <w:sz w:val="32"/>
          <w:szCs w:val="32"/>
        </w:rPr>
        <w:t>%，主要原因为</w:t>
      </w:r>
      <w:r>
        <w:rPr>
          <w:rFonts w:ascii="宋体" w:eastAsia="方正仿宋_GBK" w:cs="方正仿宋_GBK" w:hAnsi="宋体"/>
          <w:sz w:val="32"/>
          <w:szCs w:val="32"/>
        </w:rPr>
        <w:t>人员晋职晋级及政策性工资调标导致基本支出人员经费增加以及国家重大水利工程建设基金（三峡后续工作三峡水库清漂能力提升）项目支出增加327.99万元</w:t>
      </w:r>
      <w:r>
        <w:rPr>
          <w:rFonts w:ascii="宋体" w:eastAsia="方正仿宋_GBK" w:cs="方正仿宋_GBK" w:hAnsi="宋体" w:hint="eastAsia"/>
          <w:b/>
          <w:bCs/>
          <w:sz w:val="32"/>
          <w:szCs w:val="32"/>
        </w:rPr>
        <w:t>。</w:t>
      </w:r>
    </w:p>
    <w:p>
      <w:pPr>
        <w:numPr>
          <w:ilvl w:val="0"/>
          <w:numId w:val="4"/>
        </w:numPr>
        <w:spacing w:line="579" w:lineRule="exact"/>
        <w:ind w:left="0" w:firstLineChars="200" w:firstLine="640"/>
        <w:rPr>
          <w:rFonts w:ascii="宋体" w:eastAsia="方正仿宋_GBK" w:cs="方正仿宋_GBK" w:hAnsi="宋体"/>
          <w:b/>
          <w:bCs/>
          <w:sz w:val="32"/>
          <w:szCs w:val="32"/>
        </w:rPr>
      </w:pPr>
      <w:r>
        <w:rPr>
          <w:rFonts w:ascii="宋体" w:eastAsia="方正仿宋_GBK" w:cs="方正仿宋_GBK" w:hAnsi="宋体" w:hint="eastAsia"/>
          <w:b/>
          <w:bCs/>
          <w:sz w:val="32"/>
          <w:szCs w:val="32"/>
        </w:rPr>
        <w:t>收入情况。</w:t>
      </w:r>
      <w:r>
        <w:rPr>
          <w:rFonts w:ascii="宋体" w:eastAsia="方正仿宋_GBK" w:cs="方正仿宋_GBK" w:hAnsi="宋体" w:hint="eastAsia"/>
          <w:sz w:val="32"/>
          <w:szCs w:val="32"/>
        </w:rPr>
        <w:t>2024年度本年收入合计2612.89万元，较上年增加328.33万元，</w:t>
      </w:r>
      <w:r>
        <w:rPr>
          <w:rFonts w:ascii="宋体" w:eastAsia="方正仿宋_GBK" w:cs="方正仿宋_GBK" w:hAnsi="宋体" w:hint="eastAsia"/>
          <w:sz w:val="32"/>
        </w:rPr>
        <w:t>增长</w:t>
      </w:r>
      <w:r>
        <w:rPr>
          <w:rFonts w:ascii="方正仿宋_GBK" w:eastAsia="方正仿宋_GBK" w:cs="方正仿宋_GBK"/>
          <w:sz w:val="32"/>
          <w:szCs w:val="32"/>
          <w:shd w:val="clear" w:color="auto" w:fill="FFFFFF"/>
        </w:rPr>
        <w:t>14.4</w:t>
      </w:r>
      <w:r>
        <w:rPr>
          <w:rFonts w:ascii="宋体" w:eastAsia="方正仿宋_GBK" w:cs="方正仿宋_GBK" w:hAnsi="宋体" w:hint="eastAsia"/>
          <w:sz w:val="32"/>
          <w:szCs w:val="32"/>
        </w:rPr>
        <w:t>%，主要原因为</w:t>
      </w:r>
      <w:r>
        <w:rPr>
          <w:rFonts w:ascii="宋体" w:eastAsia="方正仿宋_GBK" w:cs="方正仿宋_GBK" w:hAnsi="宋体"/>
          <w:sz w:val="32"/>
          <w:szCs w:val="32"/>
        </w:rPr>
        <w:t>人员晋职晋级及政策性工资调标导致基本支出人员经费增加以及国家重大水利工程建设基金（三峡后续工作三峡水库清漂能力提升）项目支出增加327.99万元</w:t>
      </w:r>
      <w:r>
        <w:rPr>
          <w:rFonts w:ascii="宋体" w:eastAsia="方正仿宋_GBK" w:cs="方正仿宋_GBK" w:hAnsi="宋体" w:hint="eastAsia"/>
          <w:sz w:val="32"/>
          <w:szCs w:val="32"/>
        </w:rPr>
        <w:t>。其中：财政拨款收入</w:t>
      </w:r>
      <w:r>
        <w:rPr>
          <w:rFonts w:ascii="方正仿宋_GBK" w:eastAsia="方正仿宋_GBK" w:cs="方正仿宋_GBK"/>
          <w:sz w:val="32"/>
          <w:szCs w:val="32"/>
        </w:rPr>
        <w:t>2612.89</w:t>
      </w:r>
      <w:r>
        <w:rPr>
          <w:rFonts w:ascii="宋体" w:eastAsia="方正仿宋_GBK" w:cs="方正仿宋_GBK" w:hAnsi="宋体" w:hint="eastAsia"/>
          <w:sz w:val="32"/>
          <w:szCs w:val="32"/>
        </w:rPr>
        <w:t>万元，占比100%；事业收入0万元；其他收入0万元。</w:t>
      </w:r>
      <w:r>
        <w:rPr>
          <w:rFonts w:ascii="方正仿宋_GBK" w:eastAsia="方正仿宋_GBK" w:cs="方正仿宋_GBK"/>
          <w:sz w:val="32"/>
          <w:szCs w:val="32"/>
          <w:shd w:val="clear" w:color="auto" w:fill="FFFFFF"/>
        </w:rPr>
        <w:t>此外，使用非财政拨款结余和专用结余</w:t>
      </w:r>
      <w:r>
        <w:rPr>
          <w:rFonts w:ascii="方正仿宋_GBK" w:eastAsia="方正仿宋_GBK" w:cs="方正仿宋_GBK" w:hint="eastAsia"/>
          <w:sz w:val="32"/>
          <w:szCs w:val="32"/>
        </w:rPr>
        <w:t>21.71</w:t>
      </w:r>
      <w:r>
        <w:rPr>
          <w:rFonts w:ascii="方正仿宋_GBK" w:eastAsia="方正仿宋_GBK" w:cs="方正仿宋_GBK"/>
          <w:sz w:val="32"/>
          <w:szCs w:val="32"/>
          <w:shd w:val="clear" w:color="auto" w:fill="FFFFFF"/>
        </w:rPr>
        <w:t>万元，年初结转和结余</w:t>
      </w:r>
      <w:r>
        <w:rPr>
          <w:rFonts w:ascii="方正仿宋_GBK" w:eastAsia="方正仿宋_GBK" w:cs="方正仿宋_GBK" w:hint="eastAsia"/>
          <w:sz w:val="32"/>
          <w:szCs w:val="32"/>
          <w:shd w:val="clear" w:color="auto" w:fill="FFFFFF"/>
        </w:rPr>
        <w:t>42.58</w:t>
      </w:r>
      <w:r>
        <w:rPr>
          <w:rFonts w:ascii="方正仿宋_GBK" w:eastAsia="方正仿宋_GBK" w:cs="方正仿宋_GBK"/>
          <w:sz w:val="32"/>
          <w:szCs w:val="32"/>
          <w:shd w:val="clear" w:color="auto" w:fill="FFFFFF"/>
        </w:rPr>
        <w:t>万元。</w:t>
      </w:r>
    </w:p>
    <w:p>
      <w:pPr>
        <w:numPr>
          <w:ilvl w:val="0"/>
          <w:numId w:val="4"/>
        </w:numPr>
        <w:spacing w:line="579" w:lineRule="exact"/>
        <w:ind w:left="0" w:firstLineChars="200" w:firstLine="640"/>
        <w:rPr>
          <w:rFonts w:ascii="宋体" w:eastAsia="方正仿宋_GBK" w:cs="方正仿宋_GBK" w:hAnsi="宋体"/>
          <w:b/>
          <w:bCs/>
          <w:sz w:val="32"/>
          <w:szCs w:val="32"/>
        </w:rPr>
      </w:pPr>
      <w:r>
        <w:rPr>
          <w:rFonts w:ascii="宋体" w:eastAsia="方正仿宋_GBK" w:cs="方正仿宋_GBK" w:hAnsi="宋体" w:hint="eastAsia"/>
          <w:b/>
          <w:bCs/>
          <w:sz w:val="32"/>
          <w:szCs w:val="32"/>
        </w:rPr>
        <w:t>支出情况。</w:t>
      </w:r>
      <w:r>
        <w:rPr>
          <w:rFonts w:ascii="宋体" w:eastAsia="方正仿宋_GBK" w:cs="方正仿宋_GBK" w:hAnsi="宋体" w:hint="eastAsia"/>
          <w:sz w:val="32"/>
          <w:szCs w:val="32"/>
        </w:rPr>
        <w:t>2024年度本年支出合计2634.68万元，</w:t>
      </w:r>
      <w:r>
        <w:rPr>
          <w:rFonts w:ascii="宋体" w:eastAsia="方正仿宋_GBK" w:cs="方正仿宋_GBK" w:hAnsi="宋体" w:hint="eastAsia"/>
          <w:sz w:val="32"/>
        </w:rPr>
        <w:t>较上年增加300.46万元，</w:t>
      </w:r>
      <w:r>
        <w:rPr>
          <w:rFonts w:ascii="宋体" w:eastAsia="方正仿宋_GBK" w:cs="方正仿宋_GBK" w:hAnsi="宋体" w:hint="eastAsia"/>
          <w:sz w:val="32"/>
          <w:szCs w:val="32"/>
        </w:rPr>
        <w:t>增长12.87%，</w:t>
      </w:r>
      <w:r>
        <w:rPr>
          <w:rFonts w:ascii="宋体" w:eastAsia="方正仿宋_GBK" w:cs="方正仿宋_GBK" w:hAnsi="宋体" w:hint="eastAsia"/>
          <w:sz w:val="32"/>
        </w:rPr>
        <w:t>主要原因</w:t>
      </w:r>
      <w:r>
        <w:rPr>
          <w:rFonts w:ascii="宋体" w:eastAsia="方正仿宋_GBK" w:cs="方正仿宋_GBK" w:hAnsi="宋体" w:hint="eastAsia"/>
          <w:sz w:val="32"/>
          <w:szCs w:val="32"/>
        </w:rPr>
        <w:t>为</w:t>
      </w:r>
      <w:r>
        <w:rPr>
          <w:rFonts w:ascii="宋体" w:eastAsia="方正仿宋_GBK" w:cs="方正仿宋_GBK" w:hAnsi="宋体"/>
          <w:sz w:val="32"/>
          <w:szCs w:val="32"/>
        </w:rPr>
        <w:t>人员晋职晋级及政策性工资调标导致基本支出人员经费增加以及国家重大水利工程建设基金（三峡后续工作三峡水库清漂能力提升）项目支出增加327.99万元</w:t>
      </w:r>
      <w:r>
        <w:rPr>
          <w:rFonts w:ascii="宋体" w:eastAsia="方正仿宋_GBK" w:cs="方正仿宋_GBK" w:hAnsi="宋体" w:hint="eastAsia"/>
          <w:sz w:val="32"/>
        </w:rPr>
        <w:t>。</w:t>
      </w:r>
      <w:r>
        <w:rPr>
          <w:rFonts w:ascii="宋体" w:eastAsia="方正仿宋_GBK" w:cs="方正仿宋_GBK" w:hAnsi="宋体" w:hint="eastAsia"/>
          <w:sz w:val="32"/>
          <w:szCs w:val="32"/>
        </w:rPr>
        <w:t>其中：基本支出717.74万元，占比27.24%；项目支出1916.94万元，占比72.76%。</w:t>
      </w:r>
    </w:p>
    <w:p>
      <w:pPr>
        <w:numPr>
          <w:ilvl w:val="0"/>
          <w:numId w:val="4"/>
        </w:numPr>
        <w:spacing w:line="579" w:lineRule="exact"/>
        <w:ind w:left="0" w:firstLineChars="200" w:firstLine="640"/>
        <w:rPr>
          <w:rFonts w:ascii="宋体" w:eastAsia="方正仿宋_GBK" w:cs="方正仿宋_GBK" w:hAnsi="宋体"/>
          <w:kern w:val="0"/>
          <w:sz w:val="32"/>
          <w:szCs w:val="32"/>
        </w:rPr>
      </w:pPr>
      <w:r>
        <w:rPr>
          <w:rFonts w:ascii="宋体" w:eastAsia="方正仿宋_GBK" w:cs="方正仿宋_GBK" w:hAnsi="宋体" w:hint="eastAsia"/>
          <w:b/>
          <w:bCs/>
          <w:sz w:val="32"/>
          <w:szCs w:val="32"/>
        </w:rPr>
        <w:t>结转结余情况。</w:t>
      </w:r>
      <w:r>
        <w:rPr>
          <w:rFonts w:ascii="宋体" w:eastAsia="方正仿宋_GBK" w:cs="方正仿宋_GBK" w:hAnsi="宋体" w:hint="eastAsia"/>
          <w:sz w:val="32"/>
          <w:szCs w:val="32"/>
        </w:rPr>
        <w:t>2024年度年末结转和结余20.79万元，与2023年度相比减少21.71万元，主要原因是用于弥补经费不足</w:t>
      </w:r>
      <w:r>
        <w:rPr>
          <w:rFonts w:ascii="宋体" w:eastAsia="方正仿宋_GBK" w:cs="方正仿宋_GBK" w:hAnsi="宋体" w:hint="eastAsia"/>
          <w:kern w:val="0"/>
          <w:sz w:val="32"/>
          <w:szCs w:val="32"/>
        </w:rPr>
        <w:t>。</w:t>
      </w:r>
    </w:p>
    <w:p>
      <w:pPr>
        <w:numPr>
          <w:ilvl w:val="0"/>
          <w:numId w:val="3"/>
        </w:numPr>
        <w:spacing w:line="579" w:lineRule="exact"/>
        <w:ind w:left="0" w:firstLineChars="200" w:firstLine="640"/>
        <w:outlineLvl w:val="1"/>
        <w:rPr>
          <w:rFonts w:ascii="宋体" w:eastAsia="方正楷体_GBK" w:cs="方正楷体_GBK" w:hAnsi="宋体"/>
          <w:sz w:val="32"/>
          <w:szCs w:val="32"/>
        </w:rPr>
      </w:pPr>
      <w:r>
        <w:rPr>
          <w:rFonts w:ascii="宋体" w:eastAsia="方正楷体_GBK" w:cs="方正楷体_GBK" w:hAnsi="宋体" w:hint="eastAsia"/>
          <w:sz w:val="32"/>
          <w:szCs w:val="32"/>
        </w:rPr>
        <w:t>财政拨款收支总体情况</w:t>
      </w:r>
    </w:p>
    <w:p>
      <w:pPr>
        <w:spacing w:line="579" w:lineRule="exact"/>
        <w:ind w:firstLineChars="200" w:firstLine="640"/>
        <w:rPr>
          <w:rFonts w:ascii="宋体" w:eastAsia="方正仿宋_GBK" w:cs="方正仿宋_GBK" w:hAnsi="宋体"/>
          <w:sz w:val="32"/>
        </w:rPr>
      </w:pPr>
      <w:r>
        <w:rPr>
          <w:rFonts w:ascii="宋体" w:eastAsia="方正仿宋_GBK" w:cs="方正仿宋_GBK" w:hAnsi="宋体" w:hint="eastAsia"/>
          <w:sz w:val="32"/>
        </w:rPr>
        <w:t>2024年度财政拨款收入总计2612.89万元，支出总计2612.89万元。收支较</w:t>
      </w:r>
      <w:r>
        <w:rPr>
          <w:rFonts w:ascii="宋体" w:eastAsia="方正仿宋_GBK" w:cs="方正仿宋_GBK" w:hAnsi="宋体" w:hint="eastAsia"/>
          <w:sz w:val="32"/>
          <w:szCs w:val="32"/>
        </w:rPr>
        <w:t>上年增加328.33万元，增长14.37%</w:t>
      </w:r>
      <w:r>
        <w:rPr>
          <w:rFonts w:ascii="宋体" w:eastAsia="方正仿宋_GBK" w:cs="方正仿宋_GBK" w:hAnsi="宋体" w:hint="eastAsia"/>
          <w:sz w:val="32"/>
        </w:rPr>
        <w:t>，主要原因为</w:t>
      </w:r>
      <w:r>
        <w:rPr>
          <w:rFonts w:ascii="宋体" w:eastAsia="方正仿宋_GBK" w:cs="方正仿宋_GBK" w:hAnsi="宋体"/>
          <w:sz w:val="32"/>
        </w:rPr>
        <w:t>人员晋职晋级及政策性工资调标导致基本支出人员经费增加以及国家重大水利工程建设基金（三峡后续工作三峡水库清漂能力提升）项目支出增加327.99万元</w:t>
      </w:r>
      <w:r>
        <w:rPr>
          <w:rFonts w:ascii="宋体" w:eastAsia="方正仿宋_GBK" w:cs="方正仿宋_GBK" w:hAnsi="宋体" w:hint="eastAsia"/>
          <w:sz w:val="32"/>
        </w:rPr>
        <w:t>。</w:t>
      </w:r>
    </w:p>
    <w:p>
      <w:pPr>
        <w:numPr>
          <w:ilvl w:val="0"/>
          <w:numId w:val="3"/>
        </w:numPr>
        <w:spacing w:line="579" w:lineRule="exact"/>
        <w:ind w:left="0" w:firstLineChars="200" w:firstLine="640"/>
        <w:outlineLvl w:val="1"/>
        <w:rPr>
          <w:rFonts w:ascii="宋体" w:eastAsia="方正楷体_GBK" w:cs="方正楷体_GBK" w:hAnsi="宋体"/>
          <w:sz w:val="32"/>
          <w:szCs w:val="32"/>
        </w:rPr>
      </w:pPr>
      <w:r>
        <w:rPr>
          <w:rFonts w:ascii="宋体" w:eastAsia="方正楷体_GBK" w:cs="方正楷体_GBK" w:hAnsi="宋体" w:hint="eastAsia"/>
          <w:sz w:val="32"/>
          <w:szCs w:val="32"/>
        </w:rPr>
        <w:t>一般公共预算财政拨款收支总体情况</w:t>
      </w:r>
    </w:p>
    <w:p>
      <w:pPr>
        <w:numPr>
          <w:ilvl w:val="0"/>
          <w:numId w:val="5"/>
        </w:numPr>
        <w:spacing w:line="579" w:lineRule="exact"/>
        <w:ind w:left="0" w:firstLineChars="200" w:firstLine="640"/>
        <w:rPr>
          <w:rFonts w:ascii="宋体" w:eastAsia="方正仿宋_GBK" w:cs="方正仿宋_GBK" w:hAnsi="宋体"/>
          <w:b/>
          <w:bCs/>
          <w:sz w:val="32"/>
        </w:rPr>
      </w:pPr>
      <w:r>
        <w:rPr>
          <w:rFonts w:ascii="宋体" w:eastAsia="方正仿宋_GBK" w:cs="方正仿宋_GBK" w:hAnsi="宋体" w:hint="eastAsia"/>
          <w:b/>
          <w:bCs/>
          <w:sz w:val="32"/>
        </w:rPr>
        <w:t>收入情况。</w:t>
      </w:r>
      <w:r>
        <w:rPr>
          <w:rFonts w:ascii="宋体" w:eastAsia="方正仿宋_GBK" w:cs="方正仿宋_GBK" w:hAnsi="宋体" w:hint="eastAsia"/>
          <w:sz w:val="32"/>
        </w:rPr>
        <w:t>2024年度一般公共预算财政拨款收入2284.9万元，较上年决算数增加26.46万元，增长1.17%，主要原因为</w:t>
      </w:r>
      <w:r>
        <w:rPr>
          <w:rFonts w:ascii="宋体" w:eastAsia="方正仿宋_GBK" w:cs="方正仿宋_GBK" w:hAnsi="宋体"/>
          <w:sz w:val="32"/>
        </w:rPr>
        <w:t>因人员晋职晋级及政策性工资调标导致基本支出人员经费增加</w:t>
      </w:r>
      <w:r>
        <w:rPr>
          <w:rFonts w:ascii="宋体" w:eastAsia="方正仿宋_GBK" w:cs="方正仿宋_GBK" w:hAnsi="宋体" w:hint="eastAsia"/>
          <w:sz w:val="32"/>
        </w:rPr>
        <w:t>。较年初预算数增加143.79万元，增长6.29%，主要原因是</w:t>
      </w:r>
      <w:r>
        <w:rPr>
          <w:rFonts w:ascii="宋体" w:eastAsia="方正仿宋_GBK" w:cs="方正仿宋_GBK" w:hAnsi="宋体"/>
          <w:sz w:val="32"/>
        </w:rPr>
        <w:t>人员晋职晋级及政策性工资调标导致基本支出人员经费增加</w:t>
      </w:r>
      <w:r>
        <w:rPr>
          <w:rFonts w:ascii="宋体" w:eastAsia="方正仿宋_GBK" w:cs="方正仿宋_GBK" w:hAnsi="宋体" w:hint="eastAsia"/>
          <w:sz w:val="32"/>
        </w:rPr>
        <w:t>。</w:t>
      </w:r>
    </w:p>
    <w:p>
      <w:pPr>
        <w:numPr>
          <w:ilvl w:val="0"/>
          <w:numId w:val="5"/>
        </w:numPr>
        <w:spacing w:line="579" w:lineRule="exact"/>
        <w:ind w:left="0" w:firstLineChars="200" w:firstLine="640"/>
        <w:rPr>
          <w:rFonts w:ascii="宋体" w:eastAsia="方正仿宋_GBK" w:cs="方正仿宋_GBK" w:hAnsi="宋体"/>
          <w:b/>
          <w:bCs/>
          <w:sz w:val="32"/>
        </w:rPr>
      </w:pPr>
      <w:r>
        <w:rPr>
          <w:rFonts w:ascii="宋体" w:eastAsia="方正仿宋_GBK" w:cs="方正仿宋_GBK" w:hAnsi="宋体" w:hint="eastAsia"/>
          <w:b/>
          <w:bCs/>
          <w:sz w:val="32"/>
        </w:rPr>
        <w:t>支出情况。</w:t>
      </w:r>
      <w:r>
        <w:rPr>
          <w:rFonts w:ascii="宋体" w:eastAsia="方正仿宋_GBK" w:cs="方正仿宋_GBK" w:hAnsi="宋体" w:hint="eastAsia"/>
          <w:sz w:val="32"/>
        </w:rPr>
        <w:t>2024年度一般公共预算财政拨款支出2284.9万元，较上年决算数增加26.46万元，增长1.17%，主要原因是</w:t>
      </w:r>
      <w:r>
        <w:rPr>
          <w:rFonts w:ascii="宋体" w:eastAsia="方正仿宋_GBK" w:cs="方正仿宋_GBK" w:hAnsi="宋体"/>
          <w:sz w:val="32"/>
        </w:rPr>
        <w:t>人员晋职晋级及政策性工资调标导致基本支出人员经费增加</w:t>
      </w:r>
      <w:r>
        <w:rPr>
          <w:rFonts w:ascii="宋体" w:eastAsia="方正仿宋_GBK" w:cs="方正仿宋_GBK" w:hAnsi="宋体" w:hint="eastAsia"/>
          <w:sz w:val="32"/>
        </w:rPr>
        <w:t>。较年初预算数增加143.79万元，增长6.29%，主要原因是</w:t>
      </w:r>
      <w:r>
        <w:rPr>
          <w:rFonts w:ascii="宋体" w:eastAsia="方正仿宋_GBK" w:cs="方正仿宋_GBK" w:hAnsi="宋体"/>
          <w:sz w:val="32"/>
        </w:rPr>
        <w:t>人员晋职晋级及政策性工资调标导致基本支出人员经费增加</w:t>
      </w:r>
      <w:r>
        <w:rPr>
          <w:rFonts w:ascii="宋体" w:eastAsia="方正仿宋_GBK" w:cs="方正仿宋_GBK" w:hAnsi="宋体" w:hint="eastAsia"/>
          <w:sz w:val="32"/>
        </w:rPr>
        <w:t>。</w:t>
      </w:r>
    </w:p>
    <w:p>
      <w:pPr>
        <w:numPr>
          <w:ilvl w:val="0"/>
          <w:numId w:val="5"/>
        </w:numPr>
        <w:spacing w:line="579" w:lineRule="exact"/>
        <w:ind w:left="0" w:firstLineChars="200" w:firstLine="640"/>
        <w:rPr>
          <w:rFonts w:ascii="宋体" w:eastAsia="方正仿宋_GBK" w:cs="方正仿宋_GBK" w:hAnsi="宋体"/>
          <w:b/>
          <w:bCs/>
          <w:sz w:val="32"/>
        </w:rPr>
      </w:pPr>
      <w:r>
        <w:rPr>
          <w:rFonts w:ascii="宋体" w:eastAsia="方正仿宋_GBK" w:cs="方正仿宋_GBK" w:hAnsi="宋体" w:hint="eastAsia"/>
          <w:b/>
          <w:bCs/>
          <w:sz w:val="32"/>
        </w:rPr>
        <w:t>结转结余情况。</w:t>
      </w:r>
      <w:r>
        <w:rPr>
          <w:rFonts w:ascii="方正仿宋_GBK" w:eastAsia="方正仿宋_GBK" w:cs="方正仿宋_GBK" w:hint="eastAsia"/>
          <w:sz w:val="32"/>
          <w:szCs w:val="32"/>
          <w:shd w:val="clear" w:color="auto" w:fill="FFFFFF"/>
        </w:rPr>
        <w:t>2024年</w:t>
      </w:r>
      <w:r>
        <w:rPr>
          <w:rFonts w:ascii="方正仿宋_GBK" w:eastAsia="方正仿宋_GBK" w:cs="方正仿宋_GBK"/>
          <w:sz w:val="32"/>
          <w:szCs w:val="32"/>
          <w:shd w:val="clear" w:color="auto" w:fill="FFFFFF"/>
        </w:rPr>
        <w:t>度年末一般公共预算财政拨款结转和结余</w:t>
      </w:r>
      <w:r>
        <w:rPr>
          <w:rFonts w:ascii="方正仿宋_GBK" w:eastAsia="方正仿宋_GBK" w:cs="方正仿宋_GBK" w:hint="eastAsia"/>
          <w:sz w:val="32"/>
          <w:szCs w:val="32"/>
        </w:rPr>
        <w:t>0</w:t>
      </w:r>
      <w:r>
        <w:rPr>
          <w:rFonts w:ascii="方正仿宋_GBK" w:eastAsia="方正仿宋_GBK" w:cs="方正仿宋_GBK"/>
          <w:sz w:val="32"/>
          <w:szCs w:val="32"/>
          <w:shd w:val="clear" w:color="auto" w:fill="FFFFFF"/>
        </w:rPr>
        <w:t>万元</w:t>
      </w:r>
      <w:r>
        <w:rPr>
          <w:rFonts w:ascii="方正仿宋_GBK" w:eastAsia="方正仿宋_GBK" w:cs="方正仿宋_GBK" w:hint="eastAsia"/>
          <w:sz w:val="32"/>
          <w:szCs w:val="32"/>
          <w:shd w:val="clear" w:color="auto" w:fill="FFFFFF"/>
        </w:rPr>
        <w:t>。</w:t>
      </w:r>
    </w:p>
    <w:p>
      <w:pPr>
        <w:pStyle w:val="18"/>
        <w:widowControl/>
        <w:numPr>
          <w:ilvl w:val="0"/>
          <w:numId w:val="5"/>
        </w:numPr>
        <w:spacing w:before="0" w:beforeAutospacing="0" w:after="0" w:afterAutospacing="0" w:line="579" w:lineRule="exact"/>
        <w:ind w:left="0" w:firstLineChars="200" w:firstLine="640"/>
        <w:jc w:val="both"/>
        <w:rPr>
          <w:rFonts w:ascii="宋体" w:eastAsia="方正仿宋_GBK" w:cs="方正仿宋_GBK" w:hAnsi="宋体"/>
          <w:sz w:val="32"/>
        </w:rPr>
      </w:pPr>
      <w:r>
        <w:rPr>
          <w:rFonts w:ascii="宋体" w:eastAsia="方正仿宋_GBK" w:cs="方正仿宋_GBK" w:hAnsi="宋体" w:hint="eastAsia"/>
          <w:b/>
          <w:bCs/>
          <w:kern w:val="2"/>
          <w:sz w:val="32"/>
        </w:rPr>
        <w:t>比较情况。</w:t>
      </w:r>
      <w:r>
        <w:rPr>
          <w:rFonts w:ascii="宋体" w:eastAsia="方正仿宋_GBK" w:cs="方正仿宋_GBK" w:hAnsi="宋体" w:hint="eastAsia"/>
          <w:sz w:val="32"/>
        </w:rPr>
        <w:t>本部门2024年度一般公共预算财政拨款支出主要用于以下几个方面：</w:t>
      </w:r>
    </w:p>
    <w:p>
      <w:pPr>
        <w:pStyle w:val="18"/>
        <w:widowControl/>
        <w:numPr>
          <w:ilvl w:val="0"/>
          <w:numId w:val="6"/>
        </w:numPr>
        <w:spacing w:before="0" w:beforeAutospacing="0" w:after="0" w:afterAutospacing="0" w:line="579" w:lineRule="exact"/>
        <w:ind w:left="0" w:firstLineChars="200" w:firstLine="640"/>
        <w:jc w:val="both"/>
        <w:rPr>
          <w:rFonts w:ascii="宋体" w:eastAsia="方正仿宋_GBK" w:cs="方正仿宋_GBK" w:hAnsi="宋体"/>
          <w:sz w:val="32"/>
        </w:rPr>
      </w:pPr>
      <w:r>
        <w:rPr>
          <w:rFonts w:ascii="宋体" w:eastAsia="方正仿宋_GBK" w:cs="方正仿宋_GBK" w:hAnsi="宋体" w:hint="eastAsia"/>
          <w:sz w:val="32"/>
        </w:rPr>
        <w:t>教育支出0.29万元，占比0.01%。较年初预算数减少3.02万元，下降91.24%，主要原因是</w:t>
      </w:r>
      <w:r>
        <w:rPr>
          <w:rFonts w:ascii="宋体" w:eastAsia="方正仿宋_GBK" w:cs="方正仿宋_GBK" w:hAnsi="宋体"/>
          <w:sz w:val="32"/>
        </w:rPr>
        <w:t>贯</w:t>
      </w:r>
      <w:r>
        <w:rPr>
          <w:rFonts w:ascii="宋体" w:eastAsia="方正仿宋_GBK" w:cs="方正仿宋_GBK" w:hAnsi="宋体" w:hint="eastAsia"/>
          <w:sz w:val="32"/>
        </w:rPr>
        <w:t>彻落实区委区政府党政机关过紧日子苦日子要求，压减培训费支出。</w:t>
      </w:r>
    </w:p>
    <w:p>
      <w:pPr>
        <w:pStyle w:val="18"/>
        <w:widowControl/>
        <w:numPr>
          <w:ilvl w:val="0"/>
          <w:numId w:val="6"/>
        </w:numPr>
        <w:spacing w:before="0" w:beforeAutospacing="0" w:after="0" w:afterAutospacing="0" w:line="579" w:lineRule="exact"/>
        <w:ind w:left="0" w:firstLineChars="200" w:firstLine="640"/>
        <w:jc w:val="both"/>
        <w:rPr>
          <w:rFonts w:ascii="宋体" w:eastAsia="方正仿宋_GBK" w:cs="方正仿宋_GBK" w:hAnsi="宋体"/>
          <w:sz w:val="32"/>
        </w:rPr>
      </w:pPr>
      <w:r>
        <w:rPr>
          <w:rFonts w:ascii="宋体" w:eastAsia="方正仿宋_GBK" w:cs="方正仿宋_GBK" w:hAnsi="宋体" w:hint="eastAsia"/>
          <w:sz w:val="32"/>
        </w:rPr>
        <w:t>社会保障和就业支出156.26万元，占比6.84%。较年初预算数增加25.49万元，增长19.5%，主要原因是调整养老保险及职业年金缴款基数。</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（3）卫生健康支出39.86万元。占比1.74%。较年初预算数减少0.64万元，下降1.6%，主要原因是根据相关规定调整医保缴费基数。</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（4）城乡社区支出</w:t>
      </w:r>
      <w:r>
        <w:rPr>
          <w:rFonts w:ascii="方正仿宋_GBK" w:eastAsia="方正仿宋_GBK" w:cs="方正仿宋_GBK"/>
          <w:sz w:val="32"/>
          <w:szCs w:val="32"/>
        </w:rPr>
        <w:t>2061.96</w:t>
      </w:r>
      <w:r>
        <w:rPr>
          <w:rFonts w:ascii="宋体" w:eastAsia="方正仿宋_GBK" w:cs="方正仿宋_GBK" w:hAnsi="宋体" w:hint="eastAsia"/>
          <w:sz w:val="32"/>
        </w:rPr>
        <w:t>万元，占比90.25%。较年初预算数增加121.96万元，增长6.3%，主要原因是</w:t>
      </w:r>
      <w:r>
        <w:rPr>
          <w:rFonts w:ascii="宋体" w:eastAsia="方正仿宋_GBK" w:cs="方正仿宋_GBK" w:hAnsi="宋体" w:hint="eastAsia"/>
          <w:sz w:val="32"/>
          <w:szCs w:val="32"/>
        </w:rPr>
        <w:t>追加晋职晋级及政策性工资调标人员经费及项目经费</w:t>
      </w:r>
      <w:r>
        <w:rPr>
          <w:rFonts w:ascii="宋体" w:eastAsia="方正仿宋_GBK" w:cs="方正仿宋_GBK" w:hAnsi="宋体" w:hint="eastAsia"/>
          <w:sz w:val="32"/>
        </w:rPr>
        <w:t>。</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（5）住房保障支出26.53万元，占比1.16%。与年初预算数一致。</w:t>
      </w:r>
    </w:p>
    <w:p>
      <w:pPr>
        <w:numPr>
          <w:ilvl w:val="0"/>
          <w:numId w:val="3"/>
        </w:numPr>
        <w:spacing w:line="579" w:lineRule="exact"/>
        <w:ind w:left="0" w:firstLineChars="200" w:firstLine="640"/>
        <w:outlineLvl w:val="1"/>
        <w:rPr>
          <w:rFonts w:ascii="宋体" w:eastAsia="方正楷体_GBK" w:cs="方正楷体_GBK" w:hAnsi="宋体"/>
          <w:sz w:val="32"/>
          <w:szCs w:val="32"/>
        </w:rPr>
      </w:pPr>
      <w:r>
        <w:rPr>
          <w:rStyle w:val="22"/>
          <w:rFonts w:ascii="宋体" w:eastAsia="方正楷体_GBK" w:cs="方正楷体_GBK" w:hAnsi="宋体" w:hint="eastAsia"/>
          <w:b w:val="0"/>
          <w:bCs/>
          <w:sz w:val="32"/>
          <w:szCs w:val="32"/>
          <w:shd w:val="clear" w:color="auto" w:fill="FFFFFF"/>
        </w:rPr>
        <w:t>一般公共预算财政拨款基本支出情况</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2024年度一般公共预算财政拨款基本支出</w:t>
      </w:r>
      <w:r>
        <w:rPr>
          <w:rFonts w:ascii="方正仿宋_GBK" w:eastAsia="方正仿宋_GBK" w:cs="方正仿宋_GBK"/>
          <w:sz w:val="32"/>
          <w:szCs w:val="32"/>
        </w:rPr>
        <w:t>717.74</w:t>
      </w:r>
      <w:r>
        <w:rPr>
          <w:rFonts w:ascii="宋体" w:eastAsia="方正仿宋_GBK" w:cs="方正仿宋_GBK" w:hAnsi="宋体" w:hint="eastAsia"/>
          <w:sz w:val="32"/>
        </w:rPr>
        <w:t>万元。其中：人员经费</w:t>
      </w:r>
      <w:r>
        <w:rPr>
          <w:rFonts w:ascii="方正仿宋_GBK" w:eastAsia="方正仿宋_GBK" w:cs="方正仿宋_GBK"/>
          <w:sz w:val="32"/>
          <w:szCs w:val="32"/>
        </w:rPr>
        <w:t>620.77</w:t>
      </w:r>
      <w:r>
        <w:rPr>
          <w:rFonts w:ascii="宋体" w:eastAsia="方正仿宋_GBK" w:cs="方正仿宋_GBK" w:hAnsi="宋体" w:hint="eastAsia"/>
          <w:sz w:val="32"/>
        </w:rPr>
        <w:t>万元，主要用于基本工资、津贴补贴、绩效工资、社会保障缴费、住房公积金等，较上年决算数增加</w:t>
      </w:r>
      <w:r>
        <w:rPr>
          <w:rFonts w:ascii="方正仿宋_GBK" w:eastAsia="方正仿宋_GBK" w:cs="方正仿宋_GBK"/>
          <w:sz w:val="32"/>
          <w:szCs w:val="32"/>
          <w:shd w:val="clear" w:color="auto" w:fill="FFFFFF"/>
        </w:rPr>
        <w:t>17.09</w:t>
      </w:r>
      <w:r>
        <w:rPr>
          <w:rFonts w:ascii="宋体" w:eastAsia="方正仿宋_GBK" w:cs="方正仿宋_GBK" w:hAnsi="宋体" w:hint="eastAsia"/>
          <w:sz w:val="32"/>
        </w:rPr>
        <w:t>万元，增长</w:t>
      </w:r>
      <w:r>
        <w:rPr>
          <w:rFonts w:ascii="方正仿宋_GBK" w:eastAsia="方正仿宋_GBK" w:cs="方正仿宋_GBK"/>
          <w:sz w:val="32"/>
          <w:szCs w:val="32"/>
          <w:shd w:val="clear" w:color="auto" w:fill="FFFFFF"/>
        </w:rPr>
        <w:t>2.8</w:t>
      </w:r>
      <w:r>
        <w:rPr>
          <w:rFonts w:ascii="宋体" w:eastAsia="方正仿宋_GBK" w:cs="方正仿宋_GBK" w:hAnsi="宋体" w:hint="eastAsia"/>
          <w:sz w:val="32"/>
        </w:rPr>
        <w:t>%，主要原因是主要是因人员晋职晋级及政策性工资调标导致基本支出人员经费增加。公用经费</w:t>
      </w:r>
      <w:r>
        <w:rPr>
          <w:rFonts w:ascii="方正仿宋_GBK" w:eastAsia="方正仿宋_GBK" w:cs="方正仿宋_GBK"/>
          <w:sz w:val="32"/>
          <w:szCs w:val="32"/>
        </w:rPr>
        <w:t>96.98</w:t>
      </w:r>
      <w:r>
        <w:rPr>
          <w:rFonts w:ascii="宋体" w:eastAsia="方正仿宋_GBK" w:cs="方正仿宋_GBK" w:hAnsi="宋体" w:hint="eastAsia"/>
          <w:sz w:val="32"/>
        </w:rPr>
        <w:t>万元，主要用于办公经费、印刷费、水费、电费、维修费、其他商品服务支出等，较上年决算数减少</w:t>
      </w:r>
      <w:r>
        <w:rPr>
          <w:rFonts w:ascii="方正仿宋_GBK" w:eastAsia="方正仿宋_GBK" w:cs="方正仿宋_GBK"/>
          <w:sz w:val="32"/>
          <w:szCs w:val="32"/>
          <w:shd w:val="clear" w:color="auto" w:fill="FFFFFF"/>
        </w:rPr>
        <w:t>3.94</w:t>
      </w:r>
      <w:r>
        <w:rPr>
          <w:rFonts w:ascii="宋体" w:eastAsia="方正仿宋_GBK" w:cs="方正仿宋_GBK" w:hAnsi="宋体" w:hint="eastAsia"/>
          <w:sz w:val="32"/>
        </w:rPr>
        <w:t>万元，减少3.9%，主要原因是贯彻落实区委区政府党政机关过紧日子苦日子要求，压减一般性公用经费支出。</w:t>
      </w:r>
    </w:p>
    <w:p>
      <w:pPr>
        <w:widowControl/>
        <w:autoSpaceDE w:val="0"/>
        <w:spacing w:line="579" w:lineRule="exact"/>
        <w:ind w:firstLineChars="200" w:firstLine="640"/>
        <w:outlineLvl w:val="1"/>
        <w:rPr>
          <w:rStyle w:val="22"/>
          <w:rFonts w:ascii="宋体" w:eastAsia="方正楷体_GBK" w:cs="方正楷体_GBK" w:hAnsi="宋体"/>
          <w:b w:val="0"/>
          <w:bCs/>
          <w:sz w:val="32"/>
          <w:szCs w:val="32"/>
          <w:shd w:val="clear" w:color="auto" w:fill="FFFFFF"/>
        </w:rPr>
      </w:pPr>
      <w:r>
        <w:rPr>
          <w:rStyle w:val="22"/>
          <w:rFonts w:ascii="宋体" w:eastAsia="方正楷体_GBK" w:cs="方正楷体_GBK" w:hAnsi="宋体" w:hint="eastAsia"/>
          <w:b w:val="0"/>
          <w:bCs/>
          <w:sz w:val="32"/>
          <w:szCs w:val="32"/>
          <w:shd w:val="clear" w:color="auto" w:fill="FFFFFF"/>
        </w:rPr>
        <w:t>（五）政府性基金预算收支决算情况</w:t>
      </w:r>
    </w:p>
    <w:p>
      <w:pPr>
        <w:pStyle w:val="18"/>
        <w:widowControl/>
        <w:spacing w:before="0" w:beforeAutospacing="0" w:after="0" w:afterAutospacing="0" w:line="579" w:lineRule="exact"/>
        <w:ind w:firstLineChars="200" w:firstLine="640"/>
        <w:jc w:val="both"/>
        <w:rPr>
          <w:rFonts w:ascii="方正仿宋_GBK" w:eastAsia="方正仿宋_GBK" w:cs="方正仿宋_GBK"/>
          <w:sz w:val="32"/>
          <w:szCs w:val="32"/>
          <w:shd w:val="clear" w:color="auto" w:fill="FFFFFF"/>
        </w:rPr>
      </w:pPr>
      <w:r>
        <w:rPr>
          <w:rFonts w:ascii="方正仿宋_GBK" w:eastAsia="方正仿宋_GBK" w:cs="方正仿宋_GBK" w:hint="eastAsia"/>
          <w:sz w:val="32"/>
          <w:szCs w:val="32"/>
          <w:shd w:val="clear" w:color="auto" w:fill="FFFFFF"/>
        </w:rPr>
        <w:t>2024年</w:t>
      </w:r>
      <w:r>
        <w:rPr>
          <w:rFonts w:ascii="方正仿宋_GBK" w:eastAsia="方正仿宋_GBK" w:cs="方正仿宋_GBK"/>
          <w:sz w:val="32"/>
          <w:szCs w:val="32"/>
          <w:shd w:val="clear" w:color="auto" w:fill="FFFFFF"/>
        </w:rPr>
        <w:t>度政府性基金预算财政拨款年初结转结余</w:t>
      </w:r>
      <w:r>
        <w:rPr>
          <w:rFonts w:ascii="方正仿宋_GBK" w:eastAsia="方正仿宋_GBK" w:cs="方正仿宋_GBK" w:hint="eastAsia"/>
          <w:sz w:val="32"/>
          <w:szCs w:val="32"/>
        </w:rPr>
        <w:t>0</w:t>
      </w:r>
      <w:r>
        <w:rPr>
          <w:rFonts w:ascii="方正仿宋_GBK" w:eastAsia="方正仿宋_GBK" w:cs="方正仿宋_GBK"/>
          <w:sz w:val="32"/>
          <w:szCs w:val="32"/>
          <w:shd w:val="clear" w:color="auto" w:fill="FFFFFF"/>
        </w:rPr>
        <w:t>万元，年末结转结余</w:t>
      </w:r>
      <w:r>
        <w:rPr>
          <w:rFonts w:ascii="方正仿宋_GBK" w:eastAsia="方正仿宋_GBK" w:cs="方正仿宋_GBK" w:hint="eastAsia"/>
          <w:sz w:val="32"/>
          <w:szCs w:val="32"/>
        </w:rPr>
        <w:t>0</w:t>
      </w:r>
      <w:r>
        <w:rPr>
          <w:rFonts w:ascii="方正仿宋_GBK" w:eastAsia="方正仿宋_GBK" w:cs="方正仿宋_GBK"/>
          <w:sz w:val="32"/>
          <w:szCs w:val="32"/>
          <w:shd w:val="clear" w:color="auto" w:fill="FFFFFF"/>
        </w:rPr>
        <w:t>万元。本年收入</w:t>
      </w:r>
      <w:r>
        <w:rPr>
          <w:rFonts w:ascii="方正仿宋_GBK" w:eastAsia="方正仿宋_GBK" w:cs="方正仿宋_GBK" w:hint="eastAsia"/>
          <w:sz w:val="32"/>
          <w:szCs w:val="32"/>
        </w:rPr>
        <w:t>327.99</w:t>
      </w:r>
      <w:r>
        <w:rPr>
          <w:rFonts w:ascii="方正仿宋_GBK" w:eastAsia="方正仿宋_GBK" w:cs="方正仿宋_GBK"/>
          <w:sz w:val="32"/>
          <w:szCs w:val="32"/>
          <w:shd w:val="clear" w:color="auto" w:fill="FFFFFF"/>
        </w:rPr>
        <w:t>万元，与2023年度相比增加327.99万元，增长100.0%，主要原因是新增国家重大水利工程建设基金（三峡后续工作三峡水库清漂能力提升）项目拨款327.99万元，用于购置机械化清漂船一膄</w:t>
      </w:r>
      <w:r>
        <w:rPr>
          <w:rFonts w:ascii="方正仿宋_GBK" w:eastAsia="方正仿宋_GBK" w:cs="方正仿宋_GBK" w:hint="eastAsia"/>
          <w:sz w:val="32"/>
          <w:szCs w:val="32"/>
          <w:shd w:val="clear" w:color="auto" w:fill="FFFFFF"/>
        </w:rPr>
        <w:t>。</w:t>
      </w:r>
      <w:r>
        <w:rPr>
          <w:rFonts w:ascii="方正仿宋_GBK" w:eastAsia="方正仿宋_GBK" w:cs="方正仿宋_GBK"/>
          <w:sz w:val="32"/>
          <w:szCs w:val="32"/>
          <w:shd w:val="clear" w:color="auto" w:fill="FFFFFF"/>
        </w:rPr>
        <w:t>本年支出</w:t>
      </w:r>
      <w:r>
        <w:rPr>
          <w:rFonts w:ascii="方正仿宋_GBK" w:eastAsia="方正仿宋_GBK" w:cs="方正仿宋_GBK"/>
          <w:sz w:val="32"/>
          <w:szCs w:val="32"/>
        </w:rPr>
        <w:t>327.99</w:t>
      </w:r>
      <w:r>
        <w:rPr>
          <w:rFonts w:ascii="方正仿宋_GBK" w:eastAsia="方正仿宋_GBK" w:cs="方正仿宋_GBK"/>
          <w:sz w:val="32"/>
          <w:szCs w:val="32"/>
          <w:shd w:val="clear" w:color="auto" w:fill="FFFFFF"/>
        </w:rPr>
        <w:t>万元，与2023年度相比增加327.99万元，增长100.0%，主要原因是新增国家重大水利工程建设基金（三峡后续工作三峡水库清漂能力提升）项目拨款327.99万元，用于购置机械化清漂船一膄</w:t>
      </w:r>
      <w:r>
        <w:rPr>
          <w:rFonts w:ascii="方正仿宋_GBK" w:eastAsia="方正仿宋_GBK" w:cs="方正仿宋_GBK" w:hint="eastAsia"/>
          <w:sz w:val="32"/>
          <w:szCs w:val="32"/>
          <w:shd w:val="clear" w:color="auto" w:fill="FFFFFF"/>
        </w:rPr>
        <w:t>。</w:t>
      </w:r>
    </w:p>
    <w:p>
      <w:pPr>
        <w:widowControl/>
        <w:autoSpaceDE w:val="0"/>
        <w:spacing w:line="579" w:lineRule="exact"/>
        <w:ind w:firstLineChars="200" w:firstLine="640"/>
        <w:outlineLvl w:val="1"/>
        <w:rPr>
          <w:rStyle w:val="22"/>
          <w:rFonts w:ascii="宋体" w:eastAsia="方正楷体_GBK" w:cs="方正楷体_GBK" w:hAnsi="宋体"/>
          <w:b w:val="0"/>
          <w:bCs/>
          <w:sz w:val="32"/>
          <w:szCs w:val="32"/>
          <w:shd w:val="clear" w:color="auto" w:fill="FFFFFF"/>
        </w:rPr>
      </w:pPr>
      <w:r>
        <w:rPr>
          <w:rStyle w:val="22"/>
          <w:rFonts w:ascii="宋体" w:eastAsia="方正楷体_GBK" w:cs="方正楷体_GBK" w:hAnsi="宋体" w:hint="eastAsia"/>
          <w:b w:val="0"/>
          <w:bCs/>
          <w:sz w:val="32"/>
          <w:szCs w:val="32"/>
          <w:shd w:val="clear" w:color="auto" w:fill="FFFFFF"/>
        </w:rPr>
        <w:t>（六）国有资本经营预算财政拨款支出决算情况</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方正仿宋_GBK" w:eastAsia="方正仿宋_GBK" w:cs="方正仿宋_GBK"/>
          <w:sz w:val="32"/>
          <w:szCs w:val="32"/>
          <w:shd w:val="clear" w:color="auto" w:fill="FFFFFF"/>
        </w:rPr>
        <w:t>本单位</w:t>
      </w:r>
      <w:r>
        <w:rPr>
          <w:rFonts w:ascii="方正仿宋_GBK" w:eastAsia="方正仿宋_GBK" w:cs="方正仿宋_GBK" w:hint="eastAsia"/>
          <w:sz w:val="32"/>
          <w:szCs w:val="32"/>
          <w:shd w:val="clear" w:color="auto" w:fill="FFFFFF"/>
        </w:rPr>
        <w:t>2024年</w:t>
      </w:r>
      <w:r>
        <w:rPr>
          <w:rFonts w:ascii="方正仿宋_GBK" w:eastAsia="方正仿宋_GBK" w:cs="方正仿宋_GBK"/>
          <w:sz w:val="32"/>
          <w:szCs w:val="32"/>
          <w:shd w:val="clear" w:color="auto" w:fill="FFFFFF"/>
        </w:rPr>
        <w:t>度无国有资本经营预算财政拨款支出。</w:t>
      </w:r>
    </w:p>
    <w:p>
      <w:pPr>
        <w:pStyle w:val="21"/>
        <w:widowControl/>
        <w:autoSpaceDE w:val="0"/>
        <w:spacing w:before="0" w:beforeAutospacing="0" w:after="0" w:afterAutospacing="0" w:line="579" w:lineRule="exact"/>
        <w:ind w:firstLineChars="200" w:firstLine="640"/>
        <w:outlineLvl w:val="0"/>
        <w:rPr>
          <w:rStyle w:val="22"/>
          <w:rFonts w:ascii="宋体" w:eastAsia="方正黑体_GBK" w:cs="方正黑体_GBK" w:hAnsi="宋体" w:hint="eastAsia"/>
          <w:b w:val="0"/>
          <w:sz w:val="32"/>
          <w:szCs w:val="32"/>
          <w:shd w:val="clear" w:color="auto" w:fill="FFFFFF"/>
        </w:rPr>
      </w:pPr>
      <w:r>
        <w:rPr>
          <w:rStyle w:val="22"/>
          <w:rFonts w:ascii="宋体" w:eastAsia="方正黑体_GBK" w:cs="方正黑体_GBK" w:hAnsi="宋体" w:hint="eastAsia"/>
          <w:b w:val="0"/>
          <w:sz w:val="32"/>
          <w:szCs w:val="32"/>
          <w:shd w:val="clear" w:color="auto" w:fill="FFFFFF"/>
        </w:rPr>
        <w:t>三、“三公”经费情况</w:t>
      </w:r>
    </w:p>
    <w:p>
      <w:pPr>
        <w:widowControl/>
        <w:autoSpaceDE w:val="0"/>
        <w:spacing w:line="579" w:lineRule="exact"/>
        <w:ind w:firstLineChars="200" w:firstLine="640"/>
        <w:outlineLvl w:val="1"/>
        <w:rPr>
          <w:rStyle w:val="22"/>
          <w:rFonts w:ascii="宋体" w:eastAsia="方正楷体_GBK" w:cs="方正楷体_GBK" w:hAnsi="宋体"/>
          <w:b w:val="0"/>
          <w:bCs/>
          <w:sz w:val="32"/>
          <w:szCs w:val="32"/>
          <w:shd w:val="clear" w:color="auto" w:fill="FFFFFF"/>
        </w:rPr>
      </w:pPr>
      <w:r>
        <w:rPr>
          <w:rStyle w:val="22"/>
          <w:rFonts w:ascii="宋体" w:eastAsia="方正楷体_GBK" w:cs="方正楷体_GBK" w:hAnsi="宋体" w:hint="eastAsia"/>
          <w:b w:val="0"/>
          <w:bCs/>
          <w:sz w:val="32"/>
          <w:szCs w:val="32"/>
          <w:shd w:val="clear" w:color="auto" w:fill="FFFFFF"/>
        </w:rPr>
        <w:t>（一）“三公”经费支出总体情况</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2024年度“三公”经费支出共计9万元，较年初预算数无增减。较上年支出数</w:t>
      </w:r>
      <w:r>
        <w:rPr>
          <w:rFonts w:ascii="方正仿宋_GBK" w:eastAsia="方正仿宋_GBK" w:cs="方正仿宋_GBK"/>
          <w:sz w:val="32"/>
          <w:szCs w:val="32"/>
          <w:shd w:val="clear" w:color="auto" w:fill="FFFFFF"/>
        </w:rPr>
        <w:t>增加0.07万元，增长0.8%</w:t>
      </w:r>
      <w:r>
        <w:rPr>
          <w:rFonts w:ascii="宋体" w:eastAsia="方正仿宋_GBK" w:cs="方正仿宋_GBK" w:hAnsi="宋体" w:hint="eastAsia"/>
          <w:sz w:val="32"/>
        </w:rPr>
        <w:t>，主要原因是严格按照标准执行。</w:t>
      </w:r>
    </w:p>
    <w:p>
      <w:pPr>
        <w:widowControl/>
        <w:autoSpaceDE w:val="0"/>
        <w:spacing w:line="579" w:lineRule="exact"/>
        <w:ind w:firstLineChars="200" w:firstLine="640"/>
        <w:outlineLvl w:val="1"/>
        <w:rPr>
          <w:rStyle w:val="22"/>
          <w:rFonts w:ascii="宋体" w:eastAsia="方正楷体_GBK" w:cs="方正楷体_GBK" w:hAnsi="宋体"/>
          <w:b w:val="0"/>
          <w:bCs/>
          <w:sz w:val="32"/>
          <w:szCs w:val="32"/>
          <w:shd w:val="clear" w:color="auto" w:fill="FFFFFF"/>
        </w:rPr>
      </w:pPr>
      <w:r>
        <w:rPr>
          <w:rStyle w:val="22"/>
          <w:rFonts w:ascii="宋体" w:eastAsia="方正楷体_GBK" w:cs="方正楷体_GBK" w:hAnsi="宋体" w:hint="eastAsia"/>
          <w:b w:val="0"/>
          <w:bCs/>
          <w:sz w:val="32"/>
          <w:szCs w:val="32"/>
          <w:shd w:val="clear" w:color="auto" w:fill="FFFFFF"/>
        </w:rPr>
        <w:t>（二）“三公”经费分项支出情况</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无因公出国（境）费用。</w:t>
      </w:r>
    </w:p>
    <w:p>
      <w:pPr>
        <w:pStyle w:val="18"/>
        <w:widowControl/>
        <w:spacing w:before="0" w:beforeAutospacing="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无公务车购置费用。</w:t>
      </w:r>
    </w:p>
    <w:p>
      <w:pPr>
        <w:pStyle w:val="18"/>
        <w:widowControl/>
        <w:spacing w:before="0" w:beforeAutospacing="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公务车运行维护费9万元，主要用于公务车维修、过路费、停车费等。费用支出较年初预算数</w:t>
      </w:r>
      <w:r>
        <w:rPr>
          <w:rFonts w:ascii="方正仿宋_GBK" w:eastAsia="方正仿宋_GBK" w:cs="方正仿宋_GBK"/>
          <w:sz w:val="32"/>
          <w:szCs w:val="32"/>
          <w:shd w:val="clear" w:color="auto" w:fill="FFFFFF"/>
        </w:rPr>
        <w:t>无增减</w:t>
      </w:r>
      <w:r>
        <w:rPr>
          <w:rFonts w:ascii="宋体" w:eastAsia="方正仿宋_GBK" w:cs="方正仿宋_GBK" w:hAnsi="宋体" w:hint="eastAsia"/>
          <w:sz w:val="32"/>
        </w:rPr>
        <w:t>，较上年支出数</w:t>
      </w:r>
      <w:r>
        <w:rPr>
          <w:rFonts w:ascii="方正仿宋_GBK" w:eastAsia="方正仿宋_GBK" w:cs="方正仿宋_GBK"/>
          <w:sz w:val="32"/>
          <w:szCs w:val="32"/>
          <w:shd w:val="clear" w:color="auto" w:fill="FFFFFF"/>
        </w:rPr>
        <w:t>数增加0.07万元，增长0.8%</w:t>
      </w:r>
      <w:r>
        <w:rPr>
          <w:rFonts w:ascii="宋体" w:eastAsia="方正仿宋_GBK" w:cs="方正仿宋_GBK" w:hAnsi="宋体" w:hint="eastAsia"/>
          <w:sz w:val="32"/>
        </w:rPr>
        <w:t>，主要原因是严格按照标准执行。</w:t>
      </w:r>
    </w:p>
    <w:p>
      <w:pPr>
        <w:pStyle w:val="18"/>
        <w:widowControl/>
        <w:spacing w:before="0" w:beforeAutospacing="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公务接待费0万元，</w:t>
      </w:r>
      <w:r>
        <w:rPr>
          <w:rFonts w:ascii="方正仿宋_GBK" w:eastAsia="方正仿宋_GBK" w:cs="方正仿宋_GBK"/>
          <w:sz w:val="32"/>
          <w:szCs w:val="32"/>
          <w:shd w:val="clear" w:color="auto" w:fill="FFFFFF"/>
        </w:rPr>
        <w:t>费用支出较年初预算数无增减</w:t>
      </w:r>
      <w:r>
        <w:rPr>
          <w:rFonts w:ascii="方正仿宋_GBK" w:eastAsia="方正仿宋_GBK" w:cs="方正仿宋_GBK" w:hint="eastAsia"/>
          <w:sz w:val="32"/>
          <w:szCs w:val="32"/>
          <w:shd w:val="clear" w:color="auto" w:fill="FFFFFF"/>
        </w:rPr>
        <w:t>，</w:t>
      </w:r>
      <w:r>
        <w:rPr>
          <w:rFonts w:ascii="方正仿宋_GBK" w:eastAsia="方正仿宋_GBK" w:cs="方正仿宋_GBK"/>
          <w:sz w:val="32"/>
          <w:szCs w:val="32"/>
          <w:shd w:val="clear" w:color="auto" w:fill="FFFFFF"/>
        </w:rPr>
        <w:t>较上年支出数无增减</w:t>
      </w:r>
      <w:r>
        <w:rPr>
          <w:rFonts w:ascii="宋体" w:eastAsia="方正仿宋_GBK" w:cs="方正仿宋_GBK" w:hAnsi="宋体" w:hint="eastAsia"/>
          <w:sz w:val="32"/>
        </w:rPr>
        <w:t>。</w:t>
      </w:r>
    </w:p>
    <w:p>
      <w:pPr>
        <w:pStyle w:val="18"/>
        <w:widowControl/>
        <w:spacing w:before="0" w:beforeAutospacing="0" w:after="0" w:afterAutospacing="0" w:line="579" w:lineRule="exact"/>
        <w:ind w:firstLineChars="200" w:firstLine="640"/>
        <w:jc w:val="both"/>
        <w:outlineLvl w:val="1"/>
        <w:rPr>
          <w:rFonts w:ascii="宋体" w:eastAsia="方正楷体_GBK" w:cs="方正楷体_GBK" w:hAnsi="宋体"/>
        </w:rPr>
      </w:pPr>
      <w:r>
        <w:rPr>
          <w:rStyle w:val="22"/>
          <w:rFonts w:ascii="宋体" w:eastAsia="方正楷体_GBK" w:cs="方正楷体_GBK" w:hAnsi="宋体" w:hint="eastAsia"/>
          <w:b w:val="0"/>
          <w:bCs/>
          <w:kern w:val="2"/>
          <w:sz w:val="32"/>
          <w:szCs w:val="32"/>
          <w:shd w:val="clear" w:color="auto" w:fill="FFFFFF"/>
        </w:rPr>
        <w:t>（三）“三公”经费实物量情况</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2024年度本部门因公出国（境）共计0个团组，0人；公务用车购置0辆，公务车保有量为4辆；国内公务接待0批次0人，其中：国内外事接待0批次0人；国（境）外公务接待0批次，0人。无人均接待费，车均购置费0万元，车均维护费2.25万元。</w:t>
      </w:r>
    </w:p>
    <w:p>
      <w:pPr>
        <w:pStyle w:val="21"/>
        <w:widowControl/>
        <w:autoSpaceDE w:val="0"/>
        <w:spacing w:before="0" w:beforeAutospacing="0" w:after="0" w:afterAutospacing="0" w:line="579" w:lineRule="exact"/>
        <w:ind w:firstLineChars="200" w:firstLine="640"/>
        <w:outlineLvl w:val="0"/>
        <w:rPr>
          <w:rStyle w:val="22"/>
          <w:rFonts w:ascii="宋体" w:eastAsia="方正黑体_GBK" w:cs="方正黑体_GBK" w:hAnsi="宋体" w:hint="eastAsia"/>
          <w:b w:val="0"/>
          <w:sz w:val="32"/>
          <w:szCs w:val="32"/>
          <w:shd w:val="clear" w:color="auto" w:fill="FFFFFF"/>
        </w:rPr>
      </w:pPr>
      <w:r>
        <w:rPr>
          <w:rStyle w:val="22"/>
          <w:rFonts w:ascii="宋体" w:eastAsia="方正黑体_GBK" w:cs="方正黑体_GBK" w:hAnsi="宋体" w:hint="eastAsia"/>
          <w:b w:val="0"/>
          <w:sz w:val="32"/>
          <w:szCs w:val="32"/>
          <w:shd w:val="clear" w:color="auto" w:fill="FFFFFF"/>
        </w:rPr>
        <w:t>四、其他需要说明的事项</w:t>
      </w:r>
    </w:p>
    <w:p>
      <w:pPr>
        <w:pStyle w:val="18"/>
        <w:widowControl/>
        <w:spacing w:before="0" w:beforeAutospacing="0" w:after="0" w:afterAutospacing="0" w:line="579" w:lineRule="exact"/>
        <w:ind w:firstLineChars="200" w:firstLine="640"/>
        <w:jc w:val="both"/>
        <w:outlineLvl w:val="1"/>
        <w:rPr>
          <w:rStyle w:val="22"/>
          <w:rFonts w:ascii="宋体" w:eastAsia="方正楷体_GBK" w:cs="方正楷体_GBK" w:hAnsi="宋体"/>
          <w:b w:val="0"/>
          <w:bCs/>
          <w:kern w:val="2"/>
          <w:sz w:val="32"/>
          <w:szCs w:val="32"/>
          <w:shd w:val="clear" w:color="auto" w:fill="FFFFFF"/>
        </w:rPr>
      </w:pPr>
      <w:r>
        <w:rPr>
          <w:rStyle w:val="22"/>
          <w:rFonts w:ascii="宋体" w:eastAsia="方正楷体_GBK" w:cs="方正楷体_GBK" w:hAnsi="宋体" w:hint="eastAsia"/>
          <w:b w:val="0"/>
          <w:bCs/>
          <w:kern w:val="2"/>
          <w:sz w:val="32"/>
          <w:szCs w:val="32"/>
          <w:shd w:val="clear" w:color="auto" w:fill="FFFFFF"/>
        </w:rPr>
        <w:t>（一）财政拨款会议费和培训费情况</w:t>
      </w:r>
    </w:p>
    <w:p>
      <w:pPr>
        <w:pStyle w:val="18"/>
        <w:snapToGrid w:val="0"/>
        <w:spacing w:before="0" w:beforeAutospacing="0" w:after="0" w:afterAutospacing="0" w:line="579" w:lineRule="exact"/>
        <w:ind w:firstLineChars="200" w:firstLine="640"/>
        <w:jc w:val="both"/>
        <w:rPr>
          <w:rFonts w:ascii="方正仿宋_GBK" w:eastAsia="方正仿宋_GBK" w:cs="方正仿宋_GBK"/>
          <w:sz w:val="32"/>
          <w:szCs w:val="32"/>
        </w:rPr>
      </w:pPr>
      <w:r>
        <w:rPr>
          <w:rFonts w:ascii="方正仿宋_GBK" w:eastAsia="方正仿宋_GBK" w:cs="方正仿宋_GBK" w:hint="eastAsia"/>
          <w:sz w:val="32"/>
          <w:szCs w:val="32"/>
          <w:shd w:val="clear" w:color="auto" w:fill="FFFFFF"/>
        </w:rPr>
        <w:t>2024</w:t>
      </w:r>
      <w:r>
        <w:rPr>
          <w:rFonts w:ascii="方正仿宋_GBK" w:eastAsia="方正仿宋_GBK" w:cs="方正仿宋_GBK"/>
          <w:sz w:val="32"/>
          <w:szCs w:val="32"/>
          <w:shd w:val="clear" w:color="auto" w:fill="FFFFFF"/>
        </w:rPr>
        <w:t>年度会议费支出</w:t>
      </w:r>
      <w:r>
        <w:rPr>
          <w:rFonts w:ascii="方正仿宋_GBK" w:eastAsia="方正仿宋_GBK" w:cs="方正仿宋_GBK" w:hint="eastAsia"/>
          <w:sz w:val="32"/>
          <w:szCs w:val="32"/>
        </w:rPr>
        <w:t>0</w:t>
      </w:r>
      <w:r>
        <w:rPr>
          <w:rFonts w:ascii="方正仿宋_GBK" w:eastAsia="方正仿宋_GBK" w:cs="方正仿宋_GBK"/>
          <w:sz w:val="32"/>
          <w:szCs w:val="32"/>
          <w:shd w:val="clear" w:color="auto" w:fill="FFFFFF"/>
        </w:rPr>
        <w:t>万元，与2023年度相比，无增减。本年度培训费支出</w:t>
      </w:r>
      <w:r>
        <w:rPr>
          <w:rFonts w:ascii="方正仿宋_GBK" w:eastAsia="方正仿宋_GBK" w:cs="方正仿宋_GBK" w:hint="eastAsia"/>
          <w:sz w:val="32"/>
          <w:szCs w:val="32"/>
        </w:rPr>
        <w:t>0.29</w:t>
      </w:r>
      <w:r>
        <w:rPr>
          <w:rFonts w:ascii="方正仿宋_GBK" w:eastAsia="方正仿宋_GBK" w:cs="方正仿宋_GBK"/>
          <w:sz w:val="32"/>
          <w:szCs w:val="32"/>
          <w:shd w:val="clear" w:color="auto" w:fill="FFFFFF"/>
        </w:rPr>
        <w:t>万元，与2023年度相比，</w:t>
      </w:r>
      <w:r>
        <w:rPr>
          <w:rFonts w:ascii="方正仿宋_GBK" w:eastAsia="方正仿宋_GBK" w:cs="方正仿宋_GBK" w:hint="eastAsia"/>
          <w:sz w:val="32"/>
          <w:szCs w:val="32"/>
          <w:shd w:val="clear" w:color="auto" w:fill="FFFFFF"/>
        </w:rPr>
        <w:t>减少3.09</w:t>
      </w:r>
      <w:r>
        <w:rPr>
          <w:rFonts w:ascii="方正仿宋_GBK" w:eastAsia="方正仿宋_GBK" w:cs="方正仿宋_GBK"/>
          <w:sz w:val="32"/>
          <w:szCs w:val="32"/>
          <w:shd w:val="clear" w:color="auto" w:fill="FFFFFF"/>
        </w:rPr>
        <w:t>万元，</w:t>
      </w:r>
      <w:r>
        <w:rPr>
          <w:rFonts w:ascii="方正仿宋_GBK" w:eastAsia="方正仿宋_GBK" w:cs="方正仿宋_GBK" w:hint="eastAsia"/>
          <w:sz w:val="32"/>
          <w:szCs w:val="32"/>
          <w:shd w:val="clear" w:color="auto" w:fill="FFFFFF"/>
        </w:rPr>
        <w:t>下降91.4</w:t>
      </w:r>
      <w:r>
        <w:rPr>
          <w:rFonts w:ascii="方正仿宋_GBK" w:eastAsia="方正仿宋_GBK" w:cs="方正仿宋_GBK"/>
          <w:sz w:val="32"/>
          <w:szCs w:val="32"/>
          <w:shd w:val="clear" w:color="auto" w:fill="FFFFFF"/>
        </w:rPr>
        <w:t>%，主要原因是贯</w:t>
      </w:r>
      <w:bookmarkStart w:id="0" w:name="_GoBack"/>
      <w:bookmarkEnd w:id="0"/>
      <w:r>
        <w:rPr>
          <w:rFonts w:ascii="宋体" w:eastAsia="方正仿宋_GBK" w:cs="方正仿宋_GBK" w:hAnsi="宋体" w:hint="eastAsia"/>
          <w:sz w:val="32"/>
        </w:rPr>
        <w:t>彻落实区委区政府党政机关过紧日子苦日子要求，压减培训费支出</w:t>
      </w:r>
      <w:r>
        <w:rPr>
          <w:rFonts w:ascii="方正仿宋_GBK" w:eastAsia="方正仿宋_GBK" w:cs="方正仿宋_GBK"/>
          <w:sz w:val="32"/>
          <w:szCs w:val="32"/>
          <w:shd w:val="clear" w:color="auto" w:fill="FFFFFF"/>
        </w:rPr>
        <w:t>。</w:t>
      </w:r>
    </w:p>
    <w:p>
      <w:pPr>
        <w:pStyle w:val="18"/>
        <w:widowControl/>
        <w:spacing w:before="0" w:beforeAutospacing="0" w:after="0" w:afterAutospacing="0" w:line="579" w:lineRule="exact"/>
        <w:ind w:firstLineChars="200" w:firstLine="640"/>
        <w:jc w:val="both"/>
        <w:outlineLvl w:val="1"/>
        <w:rPr>
          <w:rStyle w:val="22"/>
          <w:rFonts w:ascii="宋体" w:eastAsia="方正楷体_GBK" w:cs="方正楷体_GBK" w:hAnsi="宋体"/>
          <w:b w:val="0"/>
          <w:bCs/>
          <w:kern w:val="2"/>
          <w:sz w:val="32"/>
          <w:szCs w:val="32"/>
          <w:shd w:val="clear" w:color="auto" w:fill="FFFFFF"/>
        </w:rPr>
      </w:pPr>
      <w:r>
        <w:rPr>
          <w:rStyle w:val="22"/>
          <w:rFonts w:ascii="宋体" w:eastAsia="方正楷体_GBK" w:cs="方正楷体_GBK" w:hAnsi="宋体" w:hint="eastAsia"/>
          <w:b w:val="0"/>
          <w:bCs/>
          <w:kern w:val="2"/>
          <w:sz w:val="32"/>
          <w:szCs w:val="32"/>
          <w:shd w:val="clear" w:color="auto" w:fill="FFFFFF"/>
        </w:rPr>
        <w:t>（二）机关运行经费情况</w:t>
      </w:r>
    </w:p>
    <w:p>
      <w:pPr>
        <w:spacing w:line="579" w:lineRule="exact"/>
        <w:ind w:firstLineChars="150" w:firstLine="480"/>
        <w:rPr>
          <w:rFonts w:ascii="宋体" w:eastAsia="方正仿宋_GBK" w:cs="方正仿宋_GBK" w:hAnsi="宋体"/>
          <w:kern w:val="0"/>
          <w:sz w:val="32"/>
          <w:szCs w:val="32"/>
        </w:rPr>
      </w:pPr>
      <w:r>
        <w:rPr>
          <w:rFonts w:ascii="宋体" w:eastAsia="方正仿宋_GBK" w:cs="方正仿宋_GBK" w:hAnsi="宋体" w:hint="eastAsia"/>
          <w:kern w:val="0"/>
          <w:sz w:val="32"/>
          <w:szCs w:val="32"/>
        </w:rPr>
        <w:t>按照部门决算列报口径，我单位不在机关运行经费统计范围之内。</w:t>
      </w:r>
    </w:p>
    <w:p>
      <w:pPr>
        <w:pStyle w:val="18"/>
        <w:widowControl/>
        <w:spacing w:before="0" w:beforeAutospacing="0" w:after="0" w:afterAutospacing="0" w:line="579" w:lineRule="exact"/>
        <w:ind w:firstLineChars="200" w:firstLine="640"/>
        <w:jc w:val="both"/>
        <w:outlineLvl w:val="1"/>
        <w:rPr>
          <w:rStyle w:val="22"/>
          <w:rFonts w:ascii="宋体" w:eastAsia="方正楷体_GBK" w:cs="方正楷体_GBK" w:hAnsi="宋体"/>
          <w:b w:val="0"/>
          <w:bCs/>
          <w:kern w:val="2"/>
          <w:sz w:val="32"/>
          <w:szCs w:val="32"/>
          <w:shd w:val="clear" w:color="auto" w:fill="FFFFFF"/>
        </w:rPr>
      </w:pPr>
      <w:r>
        <w:rPr>
          <w:rStyle w:val="22"/>
          <w:rFonts w:ascii="宋体" w:eastAsia="方正楷体_GBK" w:cs="方正楷体_GBK" w:hAnsi="宋体" w:hint="eastAsia"/>
          <w:b w:val="0"/>
          <w:bCs/>
          <w:kern w:val="2"/>
          <w:sz w:val="32"/>
          <w:szCs w:val="32"/>
          <w:shd w:val="clear" w:color="auto" w:fill="FFFFFF"/>
        </w:rPr>
        <w:t>（三）国有资产占用情况说明</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szCs w:val="32"/>
        </w:rPr>
      </w:pPr>
      <w:r>
        <w:rPr>
          <w:rFonts w:ascii="宋体" w:eastAsia="方正仿宋_GBK" w:cs="方正仿宋_GBK" w:hAnsi="宋体" w:hint="eastAsia"/>
          <w:sz w:val="32"/>
          <w:szCs w:val="32"/>
        </w:rPr>
        <w:t>截至2024年12月31日，本部门共有车辆4辆。其中：副部（省）级及以上领导用车0辆，主要负责人用车0辆，机要通信用车0辆，应急保障用车3辆，执法执勤用车0辆，特种专业技术用车1辆，离退休干部服务用车0辆，其他用车0辆。</w:t>
      </w:r>
    </w:p>
    <w:p>
      <w:pPr>
        <w:pStyle w:val="18"/>
        <w:widowControl/>
        <w:spacing w:before="0" w:beforeAutospacing="0" w:after="0" w:afterAutospacing="0" w:line="579" w:lineRule="exact"/>
        <w:ind w:firstLineChars="200" w:firstLine="640"/>
        <w:jc w:val="both"/>
        <w:outlineLvl w:val="1"/>
        <w:rPr>
          <w:rStyle w:val="22"/>
          <w:rFonts w:ascii="宋体" w:eastAsia="方正楷体_GBK" w:cs="方正楷体_GBK" w:hAnsi="宋体"/>
          <w:b w:val="0"/>
          <w:bCs/>
          <w:kern w:val="2"/>
          <w:sz w:val="32"/>
          <w:szCs w:val="32"/>
          <w:shd w:val="clear" w:color="auto" w:fill="FFFFFF"/>
        </w:rPr>
      </w:pPr>
      <w:r>
        <w:rPr>
          <w:rStyle w:val="22"/>
          <w:rFonts w:ascii="宋体" w:eastAsia="方正楷体_GBK" w:cs="方正楷体_GBK" w:hAnsi="宋体" w:hint="eastAsia"/>
          <w:b w:val="0"/>
          <w:bCs/>
          <w:kern w:val="2"/>
          <w:sz w:val="32"/>
          <w:szCs w:val="32"/>
          <w:shd w:val="clear" w:color="auto" w:fill="FFFFFF"/>
        </w:rPr>
        <w:t>（四）政府采购支出说明</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szCs w:val="32"/>
        </w:rPr>
        <w:t>2024年度本部门政府采购支出总额</w:t>
      </w:r>
      <w:r>
        <w:rPr>
          <w:rFonts w:ascii="方正仿宋_GBK" w:eastAsia="方正仿宋_GBK" w:cs="方正仿宋_GBK"/>
          <w:sz w:val="32"/>
          <w:szCs w:val="32"/>
        </w:rPr>
        <w:t>473.72</w:t>
      </w:r>
      <w:r>
        <w:rPr>
          <w:rFonts w:ascii="宋体" w:eastAsia="方正仿宋_GBK" w:cs="方正仿宋_GBK" w:hAnsi="宋体" w:hint="eastAsia"/>
          <w:sz w:val="32"/>
          <w:szCs w:val="32"/>
        </w:rPr>
        <w:t>万元，其中：政府采购货物支出353.92万元、政府采购工程支出0万元、政府采购服务支出119.8万元。授予中小企业合同金额471.22万元，占政府采购支出总额的99.47%，其中：授予小微企业合同金额351.42万元，占政府采购支出总额的74.18%。</w:t>
      </w:r>
      <w:r>
        <w:rPr>
          <w:rFonts w:ascii="宋体" w:eastAsia="方正仿宋_GBK" w:cs="方正仿宋_GBK" w:hAnsi="宋体" w:hint="eastAsia"/>
          <w:sz w:val="32"/>
        </w:rPr>
        <w:t>主要用于采购电脑、打印机、桥隧经检定检、清漂船舶等。</w:t>
      </w:r>
    </w:p>
    <w:p>
      <w:pPr>
        <w:pStyle w:val="18"/>
        <w:widowControl/>
        <w:spacing w:before="0" w:beforeAutospacing="0" w:after="0" w:afterAutospacing="0" w:line="579" w:lineRule="exact"/>
        <w:ind w:firstLineChars="200" w:firstLine="640"/>
        <w:outlineLvl w:val="0"/>
        <w:rPr>
          <w:rFonts w:ascii="宋体" w:eastAsia="方正黑体_GBK" w:cs="方正黑体_GBK" w:hAnsi="宋体"/>
          <w:bCs/>
          <w:sz w:val="32"/>
          <w:szCs w:val="32"/>
        </w:rPr>
      </w:pPr>
      <w:r>
        <w:rPr>
          <w:rStyle w:val="19"/>
          <w:rFonts w:ascii="宋体" w:eastAsia="方正黑体_GBK" w:cs="方正黑体_GBK" w:hAnsi="宋体" w:hint="eastAsia"/>
          <w:b w:val="0"/>
          <w:bCs/>
          <w:sz w:val="32"/>
          <w:szCs w:val="32"/>
          <w:shd w:val="clear" w:color="auto" w:fill="FFFFFF"/>
        </w:rPr>
        <w:t>五、预算绩效管理情况</w:t>
      </w:r>
    </w:p>
    <w:p>
      <w:pPr>
        <w:pStyle w:val="18"/>
        <w:widowControl/>
        <w:adjustRightInd w:val="0"/>
        <w:spacing w:before="0" w:beforeAutospacing="0" w:after="0" w:afterAutospacing="0" w:line="579" w:lineRule="exact"/>
        <w:ind w:firstLineChars="200" w:firstLine="640"/>
        <w:outlineLvl w:val="1"/>
        <w:rPr>
          <w:rFonts w:ascii="宋体" w:eastAsia="方正楷体_GBK" w:cs="方正楷体_GBK" w:hAnsi="宋体"/>
        </w:rPr>
      </w:pPr>
      <w:r>
        <w:rPr>
          <w:rStyle w:val="22"/>
          <w:rFonts w:ascii="宋体" w:eastAsia="方正楷体_GBK" w:cs="方正楷体_GBK" w:hAnsi="宋体" w:hint="eastAsia"/>
          <w:b w:val="0"/>
          <w:bCs/>
          <w:kern w:val="2"/>
          <w:sz w:val="32"/>
          <w:szCs w:val="32"/>
          <w:shd w:val="clear" w:color="auto" w:fill="FFFFFF"/>
        </w:rPr>
        <w:t>（一）预算绩效管理工作开展情况</w:t>
      </w:r>
    </w:p>
    <w:p>
      <w:pPr>
        <w:pStyle w:val="18"/>
        <w:widowControl/>
        <w:adjustRightInd w:val="0"/>
        <w:spacing w:before="0" w:beforeAutospacing="0" w:after="0" w:afterAutospacing="0" w:line="579" w:lineRule="exact"/>
        <w:ind w:firstLineChars="200" w:firstLine="640"/>
        <w:rPr>
          <w:rFonts w:ascii="宋体" w:eastAsia="方正仿宋_GBK" w:cs="方正仿宋_GBK" w:hAnsi="宋体"/>
        </w:rPr>
      </w:pPr>
      <w:r>
        <w:rPr>
          <w:rFonts w:ascii="宋体" w:eastAsia="方正仿宋_GBK" w:cs="方正仿宋_GBK" w:hAnsi="宋体" w:hint="eastAsia"/>
          <w:sz w:val="32"/>
          <w:szCs w:val="32"/>
        </w:rPr>
        <w:t>根据预算绩效管理要求，我所对19个项目开展了绩效自评，其中，以填报目标自评表形式开展自评19项，涉及资金1895.14万元。</w:t>
      </w:r>
    </w:p>
    <w:p>
      <w:pPr>
        <w:pStyle w:val="18"/>
        <w:widowControl/>
        <w:adjustRightInd w:val="0"/>
        <w:spacing w:before="0" w:beforeAutospacing="0" w:after="0" w:afterAutospacing="0" w:line="579" w:lineRule="exact"/>
        <w:ind w:firstLineChars="200" w:firstLine="640"/>
        <w:outlineLvl w:val="1"/>
        <w:rPr>
          <w:rStyle w:val="22"/>
          <w:rFonts w:ascii="宋体" w:eastAsia="方正楷体_GBK" w:cs="方正楷体_GBK" w:hAnsi="宋体"/>
          <w:b w:val="0"/>
          <w:bCs/>
          <w:kern w:val="2"/>
          <w:sz w:val="32"/>
          <w:szCs w:val="32"/>
          <w:shd w:val="clear" w:color="auto" w:fill="FFFFFF"/>
        </w:rPr>
      </w:pPr>
      <w:r>
        <w:rPr>
          <w:rStyle w:val="22"/>
          <w:rFonts w:ascii="宋体" w:eastAsia="方正楷体_GBK" w:cs="方正楷体_GBK" w:hAnsi="宋体" w:hint="eastAsia"/>
          <w:b w:val="0"/>
          <w:bCs/>
          <w:kern w:val="2"/>
          <w:sz w:val="32"/>
          <w:szCs w:val="32"/>
          <w:shd w:val="clear" w:color="auto" w:fill="FFFFFF"/>
        </w:rPr>
        <w:t>（二）绩效自评结果</w:t>
      </w:r>
    </w:p>
    <w:p>
      <w:pPr>
        <w:pStyle w:val="18"/>
        <w:widowControl/>
        <w:adjustRightInd w:val="0"/>
        <w:spacing w:before="0" w:beforeAutospacing="0" w:after="0" w:afterAutospacing="0" w:line="579" w:lineRule="exact"/>
        <w:ind w:firstLineChars="200" w:firstLine="640"/>
        <w:rPr>
          <w:rFonts w:ascii="宋体" w:eastAsia="方正仿宋_GBK" w:cs="方正仿宋_GBK" w:hAnsi="宋体"/>
          <w:b/>
          <w:bCs/>
          <w:sz w:val="32"/>
        </w:rPr>
      </w:pPr>
      <w:r>
        <w:rPr>
          <w:rFonts w:ascii="宋体" w:eastAsia="方正仿宋_GBK" w:cs="方正仿宋_GBK" w:hAnsi="宋体" w:hint="eastAsia"/>
          <w:b/>
          <w:bCs/>
          <w:sz w:val="32"/>
        </w:rPr>
        <w:t>1. 绩效目标自评表</w:t>
      </w:r>
    </w:p>
    <w:p>
      <w:pPr>
        <w:pStyle w:val="20"/>
        <w:tabs>
          <w:tab w:val="center" w:pos="4153"/>
          <w:tab w:val="left" w:pos="7275"/>
        </w:tabs>
        <w:spacing w:line="579" w:lineRule="exact"/>
        <w:rPr>
          <w:rFonts w:ascii="宋体" w:eastAsia="方正仿宋_GBK" w:cs="方正仿宋_GBK" w:hAnsi="宋体"/>
          <w:kern w:val="0"/>
          <w:sz w:val="32"/>
          <w:szCs w:val="32"/>
        </w:rPr>
      </w:pPr>
      <w:r>
        <w:rPr>
          <w:rFonts w:ascii="宋体" w:eastAsia="方正仿宋_GBK" w:cs="方正仿宋_GBK" w:hAnsi="宋体" w:hint="eastAsia"/>
          <w:color w:val="000000"/>
          <w:kern w:val="0"/>
          <w:sz w:val="32"/>
          <w:szCs w:val="32"/>
        </w:rPr>
        <w:t>（1）公开范围</w:t>
      </w:r>
      <w:r>
        <w:rPr>
          <w:rFonts w:ascii="宋体" w:eastAsia="方正仿宋_GBK" w:cs="方正仿宋_GBK" w:hAnsi="宋体" w:hint="eastAsia"/>
          <w:kern w:val="0"/>
          <w:sz w:val="32"/>
          <w:szCs w:val="32"/>
        </w:rPr>
        <w:t>。我单位无重点专项项目，选择一个一般性项目绩效自评表进行公开。</w:t>
      </w:r>
    </w:p>
    <w:p>
      <w:pPr>
        <w:pStyle w:val="20"/>
        <w:tabs>
          <w:tab w:val="center" w:pos="4153"/>
          <w:tab w:val="left" w:pos="7275"/>
        </w:tabs>
        <w:spacing w:line="579" w:lineRule="exact"/>
        <w:rPr>
          <w:rFonts w:ascii="宋体" w:eastAsia="方正仿宋_GBK" w:cs="方正仿宋_GBK" w:hAnsi="宋体"/>
          <w:kern w:val="0"/>
          <w:sz w:val="32"/>
          <w:szCs w:val="32"/>
        </w:rPr>
      </w:pPr>
      <w:r>
        <w:rPr>
          <w:rFonts w:ascii="宋体" w:eastAsia="方正仿宋_GBK" w:cs="方正仿宋_GBK" w:hAnsi="宋体" w:hint="eastAsia"/>
          <w:kern w:val="0"/>
          <w:sz w:val="32"/>
          <w:szCs w:val="32"/>
        </w:rPr>
        <w:t>（2）公开内容。详见表格。</w:t>
      </w:r>
    </w:p>
    <w:p>
      <w:pPr>
        <w:pStyle w:val="20"/>
        <w:tabs>
          <w:tab w:val="center" w:pos="4153"/>
          <w:tab w:val="left" w:pos="7275"/>
        </w:tabs>
        <w:spacing w:line="579" w:lineRule="exact"/>
        <w:ind w:firstLineChars="0" w:firstLine="0"/>
        <w:jc w:val="center"/>
        <w:rPr>
          <w:rFonts w:ascii="方正黑体_GBK" w:eastAsia="方正黑体_GBK" w:cs="方正黑体_GBK"/>
          <w:color w:val="000000"/>
          <w:kern w:val="0"/>
          <w:sz w:val="36"/>
          <w:szCs w:val="36"/>
        </w:rPr>
      </w:pPr>
      <w:r>
        <w:rPr>
          <w:rFonts w:ascii="方正黑体_GBK" w:eastAsia="方正黑体_GBK" w:cs="方正黑体_GBK" w:hint="eastAsia"/>
          <w:color w:val="000000"/>
          <w:kern w:val="0"/>
          <w:sz w:val="36"/>
          <w:szCs w:val="36"/>
        </w:rPr>
        <w:t>2024年度项目绩效自评表</w:t>
      </w:r>
    </w:p>
    <w:tbl>
      <w:tblPr>
        <w:jc w:val="cente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57"/>
        <w:gridCol w:w="846"/>
        <w:gridCol w:w="708"/>
        <w:gridCol w:w="709"/>
        <w:gridCol w:w="459"/>
        <w:gridCol w:w="385"/>
        <w:gridCol w:w="684"/>
        <w:gridCol w:w="288"/>
        <w:gridCol w:w="948"/>
        <w:gridCol w:w="1080"/>
        <w:gridCol w:w="1092"/>
        <w:gridCol w:w="938"/>
        <w:gridCol w:w="346"/>
        <w:gridCol w:w="892"/>
      </w:tblGrid>
      <w:tr>
        <w:trPr>
          <w:trHeight w:val="757"/>
        </w:trPr>
        <w:tc>
          <w:tcPr>
            <w:tcW w:w="757" w:type="dxa"/>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项目</w:t>
            </w:r>
          </w:p>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名称</w:t>
            </w:r>
          </w:p>
        </w:tc>
        <w:tc>
          <w:tcPr>
            <w:tcW w:w="3791" w:type="dxa"/>
            <w:gridSpan w:val="6"/>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鼎山公园管护</w:t>
            </w:r>
          </w:p>
        </w:tc>
        <w:tc>
          <w:tcPr>
            <w:tcW w:w="1236" w:type="dxa"/>
            <w:gridSpan w:val="2"/>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自评总分（分）</w:t>
            </w:r>
          </w:p>
        </w:tc>
        <w:tc>
          <w:tcPr>
            <w:tcW w:w="4348" w:type="dxa"/>
            <w:gridSpan w:val="5"/>
            <w:tcBorders>
              <w:tl2br w:val="nil"/>
              <w:tr2bl w:val="nil"/>
            </w:tcBorders>
            <w:noWrap/>
            <w:vAlign w:val="center"/>
          </w:tcPr>
          <w:p>
            <w:pPr>
              <w:widowControl/>
              <w:spacing w:line="440" w:lineRule="exact"/>
              <w:rPr>
                <w:rFonts w:ascii="宋体" w:eastAsia="方正仿宋_GBK" w:cs="方正仿宋_GBK" w:hAnsi="宋体"/>
                <w:color w:val="000000"/>
                <w:kern w:val="0"/>
                <w:sz w:val="24"/>
                <w:szCs w:val="24"/>
              </w:rPr>
            </w:pPr>
            <w:r>
              <w:rPr>
                <w:rFonts w:ascii="宋体" w:eastAsia="方正仿宋_GBK" w:cs="方正仿宋_GBK" w:hAnsi="宋体"/>
                <w:color w:val="000000"/>
                <w:kern w:val="0"/>
                <w:sz w:val="24"/>
                <w:szCs w:val="24"/>
              </w:rPr>
              <w:t>100.00</w:t>
            </w:r>
          </w:p>
        </w:tc>
      </w:tr>
      <w:tr>
        <w:trPr>
          <w:trHeight w:val="968"/>
        </w:trPr>
        <w:tc>
          <w:tcPr>
            <w:tcW w:w="757" w:type="dxa"/>
            <w:tcBorders>
              <w:tl2br w:val="nil"/>
              <w:tr2bl w:val="nil"/>
            </w:tcBorders>
            <w:noWrap/>
            <w:vAlign w:val="center"/>
          </w:tcPr>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项目主管</w:t>
            </w:r>
          </w:p>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部门</w:t>
            </w:r>
          </w:p>
        </w:tc>
        <w:tc>
          <w:tcPr>
            <w:tcW w:w="1554" w:type="dxa"/>
            <w:gridSpan w:val="2"/>
            <w:tcBorders>
              <w:tl2br w:val="nil"/>
              <w:tr2bl w:val="nil"/>
            </w:tcBorders>
            <w:noWrap/>
            <w:vAlign w:val="center"/>
          </w:tcPr>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重庆市江津区城市管理局</w:t>
            </w:r>
          </w:p>
        </w:tc>
        <w:tc>
          <w:tcPr>
            <w:tcW w:w="1168" w:type="dxa"/>
            <w:gridSpan w:val="2"/>
            <w:tcBorders>
              <w:tl2br w:val="nil"/>
              <w:tr2bl w:val="nil"/>
            </w:tcBorders>
            <w:noWrap/>
            <w:vAlign w:val="center"/>
          </w:tcPr>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财政归口科室</w:t>
            </w:r>
          </w:p>
        </w:tc>
        <w:tc>
          <w:tcPr>
            <w:tcW w:w="1069" w:type="dxa"/>
            <w:gridSpan w:val="2"/>
            <w:tcBorders>
              <w:tl2br w:val="nil"/>
              <w:tr2bl w:val="nil"/>
            </w:tcBorders>
            <w:noWrap/>
            <w:vAlign w:val="center"/>
          </w:tcPr>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经济建设科</w:t>
            </w:r>
          </w:p>
        </w:tc>
        <w:tc>
          <w:tcPr>
            <w:tcW w:w="1236" w:type="dxa"/>
            <w:gridSpan w:val="2"/>
            <w:tcBorders>
              <w:tl2br w:val="nil"/>
              <w:tr2bl w:val="nil"/>
            </w:tcBorders>
            <w:noWrap/>
            <w:vAlign w:val="center"/>
          </w:tcPr>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项目</w:t>
            </w:r>
          </w:p>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联系人</w:t>
            </w:r>
          </w:p>
        </w:tc>
        <w:tc>
          <w:tcPr>
            <w:tcW w:w="1080" w:type="dxa"/>
            <w:tcBorders>
              <w:tl2br w:val="nil"/>
              <w:tr2bl w:val="nil"/>
            </w:tcBorders>
            <w:noWrap/>
            <w:vAlign w:val="center"/>
          </w:tcPr>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汪水婧</w:t>
            </w:r>
          </w:p>
        </w:tc>
        <w:tc>
          <w:tcPr>
            <w:tcW w:w="1092" w:type="dxa"/>
            <w:tcBorders>
              <w:tl2br w:val="nil"/>
              <w:tr2bl w:val="nil"/>
            </w:tcBorders>
            <w:noWrap/>
            <w:vAlign w:val="center"/>
          </w:tcPr>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联系电话</w:t>
            </w:r>
          </w:p>
        </w:tc>
        <w:tc>
          <w:tcPr>
            <w:tcW w:w="2176" w:type="dxa"/>
            <w:gridSpan w:val="3"/>
            <w:tcBorders>
              <w:tl2br w:val="nil"/>
              <w:tr2bl w:val="nil"/>
            </w:tcBorders>
            <w:noWrap/>
            <w:vAlign w:val="center"/>
          </w:tcPr>
          <w:p>
            <w:pPr>
              <w:widowControl/>
              <w:spacing w:line="340" w:lineRule="exact"/>
              <w:rPr>
                <w:rFonts w:ascii="宋体" w:eastAsia="方正仿宋_GBK" w:cs="方正仿宋_GBK" w:hAnsi="宋体"/>
                <w:color w:val="000000"/>
                <w:kern w:val="0"/>
                <w:sz w:val="24"/>
                <w:szCs w:val="24"/>
              </w:rPr>
            </w:pPr>
            <w:r>
              <w:rPr>
                <w:rFonts w:ascii="宋体" w:eastAsia="方正仿宋_GBK" w:cs="方正仿宋_GBK" w:hAnsi="宋体"/>
                <w:color w:val="000000"/>
                <w:kern w:val="0"/>
                <w:sz w:val="24"/>
                <w:szCs w:val="24"/>
              </w:rPr>
              <w:t>18100866517</w:t>
            </w:r>
          </w:p>
        </w:tc>
      </w:tr>
      <w:tr>
        <w:trPr>
          <w:trHeight w:val="1029"/>
        </w:trPr>
        <w:tc>
          <w:tcPr>
            <w:tcW w:w="757" w:type="dxa"/>
            <w:vMerge w:val="restart"/>
            <w:tcBorders>
              <w:tl2br w:val="nil"/>
              <w:tr2bl w:val="nil"/>
            </w:tcBorders>
            <w:noWrap/>
            <w:textDirection w:val="tbRlV"/>
            <w:vAlign w:val="center"/>
          </w:tcPr>
          <w:p>
            <w:pPr>
              <w:widowControl/>
              <w:spacing w:line="579" w:lineRule="exact"/>
              <w:ind w:left="113" w:right="113"/>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项目资金（万元）</w:t>
            </w:r>
          </w:p>
        </w:tc>
        <w:tc>
          <w:tcPr>
            <w:tcW w:w="1554" w:type="dxa"/>
            <w:gridSpan w:val="2"/>
            <w:vMerge w:val="restart"/>
            <w:tcBorders>
              <w:tl2br w:val="nil"/>
              <w:tr2bl w:val="nil"/>
            </w:tcBorders>
            <w:noWrap/>
            <w:vAlign w:val="center"/>
          </w:tcPr>
          <w:p>
            <w:pPr>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年度总金额</w:t>
            </w:r>
          </w:p>
        </w:tc>
        <w:tc>
          <w:tcPr>
            <w:tcW w:w="1168" w:type="dxa"/>
            <w:gridSpan w:val="2"/>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年初</w:t>
            </w:r>
          </w:p>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预算数</w:t>
            </w:r>
          </w:p>
        </w:tc>
        <w:tc>
          <w:tcPr>
            <w:tcW w:w="1069" w:type="dxa"/>
            <w:gridSpan w:val="2"/>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全年（调整）预算数</w:t>
            </w:r>
          </w:p>
        </w:tc>
        <w:tc>
          <w:tcPr>
            <w:tcW w:w="2316" w:type="dxa"/>
            <w:gridSpan w:val="3"/>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全年执行数</w:t>
            </w:r>
          </w:p>
        </w:tc>
        <w:tc>
          <w:tcPr>
            <w:tcW w:w="1092" w:type="dxa"/>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执行率</w:t>
            </w:r>
          </w:p>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w:t>
            </w:r>
          </w:p>
        </w:tc>
        <w:tc>
          <w:tcPr>
            <w:tcW w:w="938" w:type="dxa"/>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执行率</w:t>
            </w:r>
          </w:p>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权重</w:t>
            </w:r>
          </w:p>
        </w:tc>
        <w:tc>
          <w:tcPr>
            <w:tcW w:w="1238" w:type="dxa"/>
            <w:gridSpan w:val="2"/>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执行率</w:t>
            </w:r>
          </w:p>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得分</w:t>
            </w:r>
          </w:p>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（分）</w:t>
            </w:r>
          </w:p>
        </w:tc>
      </w:tr>
      <w:tr>
        <w:trPr>
          <w:trHeight w:val="469"/>
        </w:trPr>
        <w:tc>
          <w:tcPr>
            <w:tcW w:w="757" w:type="dxa"/>
            <w:vMerge/>
            <w:tcBorders>
              <w:tl2br w:val="nil"/>
              <w:tr2bl w:val="nil"/>
            </w:tcBorders>
            <w:noWrap/>
            <w:vAlign w:val="center"/>
          </w:tcPr>
          <w:p/>
        </w:tc>
        <w:tc>
          <w:tcPr>
            <w:tcW w:w="1554" w:type="dxa"/>
            <w:gridSpan w:val="2"/>
            <w:vMerge/>
            <w:tcBorders>
              <w:tl2br w:val="nil"/>
              <w:tr2bl w:val="nil"/>
            </w:tcBorders>
            <w:noWrap/>
            <w:vAlign w:val="center"/>
          </w:tcPr>
          <w:p/>
        </w:tc>
        <w:tc>
          <w:tcPr>
            <w:tcW w:w="1168" w:type="dxa"/>
            <w:gridSpan w:val="2"/>
            <w:tcBorders>
              <w:tl2br w:val="nil"/>
              <w:tr2bl w:val="nil"/>
            </w:tcBorders>
            <w:noWrap/>
            <w:vAlign w:val="center"/>
          </w:tcPr>
          <w:p>
            <w:pPr>
              <w:jc w:val="right"/>
              <w:rPr>
                <w:rFonts w:ascii="宋体" w:cs="宋体"/>
                <w:color w:val="000000"/>
                <w:sz w:val="22"/>
              </w:rPr>
            </w:pPr>
            <w:r>
              <w:rPr>
                <w:rFonts w:hint="eastAsia"/>
                <w:color w:val="000000"/>
                <w:sz w:val="22"/>
              </w:rPr>
              <w:t xml:space="preserve">5000000 </w:t>
            </w:r>
          </w:p>
        </w:tc>
        <w:tc>
          <w:tcPr>
            <w:tcW w:w="1069" w:type="dxa"/>
            <w:gridSpan w:val="2"/>
            <w:tcBorders>
              <w:tl2br w:val="nil"/>
              <w:tr2bl w:val="nil"/>
            </w:tcBorders>
            <w:noWrap/>
            <w:vAlign w:val="center"/>
          </w:tcPr>
          <w:p>
            <w:pPr>
              <w:jc w:val="right"/>
              <w:rPr>
                <w:rFonts w:ascii="宋体" w:cs="宋体"/>
                <w:color w:val="000000"/>
                <w:sz w:val="22"/>
              </w:rPr>
            </w:pPr>
            <w:r>
              <w:rPr>
                <w:rFonts w:hint="eastAsia"/>
                <w:color w:val="000000"/>
                <w:sz w:val="22"/>
              </w:rPr>
              <w:t xml:space="preserve">5000000 </w:t>
            </w:r>
          </w:p>
        </w:tc>
        <w:tc>
          <w:tcPr>
            <w:tcW w:w="2316" w:type="dxa"/>
            <w:gridSpan w:val="3"/>
            <w:tcBorders>
              <w:tl2br w:val="nil"/>
              <w:tr2bl w:val="nil"/>
            </w:tcBorders>
            <w:noWrap/>
            <w:vAlign w:val="center"/>
          </w:tcPr>
          <w:p>
            <w:pPr>
              <w:jc w:val="right"/>
              <w:rPr>
                <w:rFonts w:ascii="宋体" w:cs="宋体"/>
                <w:color w:val="000000"/>
                <w:sz w:val="22"/>
              </w:rPr>
            </w:pPr>
            <w:r>
              <w:rPr>
                <w:rFonts w:hint="eastAsia"/>
                <w:color w:val="000000"/>
                <w:sz w:val="22"/>
              </w:rPr>
              <w:t xml:space="preserve">5000000 </w:t>
            </w:r>
          </w:p>
        </w:tc>
        <w:tc>
          <w:tcPr>
            <w:tcW w:w="1092" w:type="dxa"/>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100</w:t>
            </w:r>
          </w:p>
        </w:tc>
        <w:tc>
          <w:tcPr>
            <w:tcW w:w="938" w:type="dxa"/>
            <w:tcBorders>
              <w:tl2br w:val="nil"/>
              <w:tr2bl w:val="nil"/>
            </w:tcBorders>
            <w:noWrap/>
            <w:vAlign w:val="center"/>
          </w:tcPr>
          <w:p>
            <w:pPr>
              <w:widowControl/>
              <w:spacing w:line="579" w:lineRule="exact"/>
              <w:jc w:val="center"/>
              <w:rPr>
                <w:rFonts w:ascii="宋体" w:eastAsia="方正仿宋_GBK" w:cs="方正仿宋_GBK" w:hAnsi="宋体"/>
                <w:kern w:val="0"/>
                <w:sz w:val="24"/>
                <w:szCs w:val="24"/>
              </w:rPr>
            </w:pPr>
            <w:r>
              <w:rPr>
                <w:rFonts w:ascii="宋体" w:eastAsia="方正仿宋_GBK" w:cs="方正仿宋_GBK" w:hAnsi="宋体" w:hint="eastAsia"/>
                <w:kern w:val="0"/>
                <w:sz w:val="24"/>
                <w:szCs w:val="24"/>
              </w:rPr>
              <w:t>10</w:t>
            </w:r>
          </w:p>
        </w:tc>
        <w:tc>
          <w:tcPr>
            <w:tcW w:w="1238" w:type="dxa"/>
            <w:gridSpan w:val="2"/>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10</w:t>
            </w:r>
          </w:p>
        </w:tc>
      </w:tr>
      <w:tr>
        <w:trPr>
          <w:trHeight w:val="799"/>
        </w:trPr>
        <w:tc>
          <w:tcPr>
            <w:tcW w:w="757" w:type="dxa"/>
            <w:vMerge/>
            <w:tcBorders>
              <w:tl2br w:val="nil"/>
              <w:tr2bl w:val="nil"/>
            </w:tcBorders>
            <w:noWrap/>
            <w:vAlign w:val="center"/>
          </w:tcPr>
          <w:p/>
        </w:tc>
        <w:tc>
          <w:tcPr>
            <w:tcW w:w="1554" w:type="dxa"/>
            <w:gridSpan w:val="2"/>
            <w:tcBorders>
              <w:tl2br w:val="nil"/>
              <w:tr2bl w:val="nil"/>
            </w:tcBorders>
            <w:noWrap/>
            <w:vAlign w:val="center"/>
          </w:tcPr>
          <w:p>
            <w:pPr>
              <w:widowControl/>
              <w:spacing w:line="40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其中：</w:t>
            </w:r>
          </w:p>
          <w:p>
            <w:pPr>
              <w:widowControl/>
              <w:spacing w:line="40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财政拨款</w:t>
            </w:r>
          </w:p>
        </w:tc>
        <w:tc>
          <w:tcPr>
            <w:tcW w:w="1168" w:type="dxa"/>
            <w:gridSpan w:val="2"/>
            <w:tcBorders>
              <w:tl2br w:val="nil"/>
              <w:tr2bl w:val="nil"/>
            </w:tcBorders>
            <w:noWrap/>
            <w:vAlign w:val="center"/>
          </w:tcPr>
          <w:p>
            <w:pPr>
              <w:jc w:val="right"/>
              <w:rPr>
                <w:rFonts w:ascii="宋体" w:cs="宋体"/>
                <w:color w:val="000000"/>
                <w:sz w:val="22"/>
              </w:rPr>
            </w:pPr>
            <w:r>
              <w:rPr>
                <w:rFonts w:hint="eastAsia"/>
                <w:color w:val="000000"/>
                <w:sz w:val="22"/>
              </w:rPr>
              <w:t xml:space="preserve">5000000 </w:t>
            </w:r>
          </w:p>
        </w:tc>
        <w:tc>
          <w:tcPr>
            <w:tcW w:w="1069" w:type="dxa"/>
            <w:gridSpan w:val="2"/>
            <w:tcBorders>
              <w:tl2br w:val="nil"/>
              <w:tr2bl w:val="nil"/>
            </w:tcBorders>
            <w:noWrap/>
            <w:vAlign w:val="center"/>
          </w:tcPr>
          <w:p>
            <w:pPr>
              <w:jc w:val="right"/>
              <w:rPr>
                <w:rFonts w:ascii="宋体" w:cs="宋体"/>
                <w:color w:val="000000"/>
                <w:sz w:val="22"/>
              </w:rPr>
            </w:pPr>
            <w:r>
              <w:rPr>
                <w:rFonts w:hint="eastAsia"/>
                <w:color w:val="000000"/>
                <w:sz w:val="22"/>
              </w:rPr>
              <w:t xml:space="preserve">5000000 </w:t>
            </w:r>
          </w:p>
        </w:tc>
        <w:tc>
          <w:tcPr>
            <w:tcW w:w="2316" w:type="dxa"/>
            <w:gridSpan w:val="3"/>
            <w:tcBorders>
              <w:tl2br w:val="nil"/>
              <w:tr2bl w:val="nil"/>
            </w:tcBorders>
            <w:noWrap/>
            <w:vAlign w:val="center"/>
          </w:tcPr>
          <w:p>
            <w:pPr>
              <w:jc w:val="right"/>
              <w:rPr>
                <w:rFonts w:ascii="宋体" w:cs="宋体"/>
                <w:color w:val="000000"/>
                <w:sz w:val="22"/>
              </w:rPr>
            </w:pPr>
            <w:r>
              <w:rPr>
                <w:rFonts w:hint="eastAsia"/>
                <w:color w:val="000000"/>
                <w:sz w:val="22"/>
              </w:rPr>
              <w:t xml:space="preserve">5000000 </w:t>
            </w:r>
          </w:p>
        </w:tc>
        <w:tc>
          <w:tcPr>
            <w:tcW w:w="1092" w:type="dxa"/>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p>
        </w:tc>
        <w:tc>
          <w:tcPr>
            <w:tcW w:w="938" w:type="dxa"/>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p>
        </w:tc>
        <w:tc>
          <w:tcPr>
            <w:tcW w:w="1238" w:type="dxa"/>
            <w:gridSpan w:val="2"/>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p>
        </w:tc>
      </w:tr>
      <w:tr>
        <w:trPr>
          <w:trHeight w:val="469"/>
        </w:trPr>
        <w:tc>
          <w:tcPr>
            <w:tcW w:w="757" w:type="dxa"/>
            <w:vMerge w:val="restart"/>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当年绩效目标</w:t>
            </w:r>
          </w:p>
        </w:tc>
        <w:tc>
          <w:tcPr>
            <w:tcW w:w="3107" w:type="dxa"/>
            <w:gridSpan w:val="5"/>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年初绩效目标</w:t>
            </w:r>
          </w:p>
        </w:tc>
        <w:tc>
          <w:tcPr>
            <w:tcW w:w="3000" w:type="dxa"/>
            <w:gridSpan w:val="4"/>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全年（调整）绩效目标</w:t>
            </w:r>
          </w:p>
        </w:tc>
        <w:tc>
          <w:tcPr>
            <w:tcW w:w="3268" w:type="dxa"/>
            <w:gridSpan w:val="4"/>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全年目标实际完成情况</w:t>
            </w:r>
          </w:p>
        </w:tc>
      </w:tr>
      <w:tr>
        <w:trPr>
          <w:trHeight w:val="1055"/>
        </w:trPr>
        <w:tc>
          <w:tcPr>
            <w:tcW w:w="757" w:type="dxa"/>
            <w:vMerge/>
            <w:tcBorders>
              <w:tl2br w:val="nil"/>
              <w:tr2bl w:val="nil"/>
            </w:tcBorders>
            <w:noWrap/>
            <w:vAlign w:val="center"/>
          </w:tcPr>
          <w:p/>
        </w:tc>
        <w:tc>
          <w:tcPr>
            <w:tcW w:w="3107" w:type="dxa"/>
            <w:gridSpan w:val="5"/>
            <w:tcBorders>
              <w:tl2br w:val="nil"/>
              <w:tr2bl w:val="nil"/>
            </w:tcBorders>
            <w:noWrap/>
            <w:vAlign w:val="center"/>
          </w:tcPr>
          <w:p>
            <w:pPr>
              <w:widowControl/>
              <w:spacing w:line="26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对公园77.09万平方米绿化管护；16.16万平方米清扫保洁；15座公厕管理维护；1409盏路灯维护；15.0335万平方米市政道路维护；鼎山公园水费、足球场运维、直饮水及检测滤芯更换等。</w:t>
            </w:r>
          </w:p>
        </w:tc>
        <w:tc>
          <w:tcPr>
            <w:tcW w:w="3000" w:type="dxa"/>
            <w:gridSpan w:val="4"/>
            <w:tcBorders>
              <w:tl2br w:val="nil"/>
              <w:tr2bl w:val="nil"/>
            </w:tcBorders>
            <w:noWrap/>
            <w:vAlign w:val="center"/>
          </w:tcPr>
          <w:p>
            <w:pPr>
              <w:widowControl/>
              <w:spacing w:line="26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对公园77.09万平方米绿化管护；16.16万平方米清扫保洁；15座公厕管理维护；1409盏路灯维护；15.0335万平方米市政道路维护；鼎山公园水费、足球场运维、直饮水及检测滤芯更换等。</w:t>
            </w:r>
          </w:p>
        </w:tc>
        <w:tc>
          <w:tcPr>
            <w:tcW w:w="3268" w:type="dxa"/>
            <w:gridSpan w:val="4"/>
            <w:tcBorders>
              <w:tl2br w:val="nil"/>
              <w:tr2bl w:val="nil"/>
            </w:tcBorders>
            <w:noWrap/>
            <w:vAlign w:val="center"/>
          </w:tcPr>
          <w:p>
            <w:pPr>
              <w:widowControl/>
              <w:spacing w:line="26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完成对公园77.09万平方米绿化管护；16.16万平方米清扫保洁；15座公厕管理维护；1409盏路灯维护；15.0335万平方米市政道路维护；鼎山公园水费支付、足球场运维、直饮水及检测滤芯更换等。</w:t>
            </w:r>
          </w:p>
        </w:tc>
      </w:tr>
      <w:tr>
        <w:trPr>
          <w:trHeight w:val="469"/>
        </w:trPr>
        <w:tc>
          <w:tcPr>
            <w:tcW w:w="757" w:type="dxa"/>
            <w:vMerge w:val="restart"/>
            <w:tcBorders>
              <w:tl2br w:val="nil"/>
              <w:tr2bl w:val="nil"/>
            </w:tcBorders>
            <w:noWrap/>
            <w:textDirection w:val="tbRlV"/>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绩效指标</w:t>
            </w:r>
          </w:p>
        </w:tc>
        <w:tc>
          <w:tcPr>
            <w:tcW w:w="846" w:type="dxa"/>
            <w:tcBorders>
              <w:tl2br w:val="nil"/>
              <w:tr2bl w:val="nil"/>
            </w:tcBorders>
            <w:noWrap/>
            <w:vAlign w:val="center"/>
          </w:tcPr>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指标</w:t>
            </w:r>
          </w:p>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名称</w:t>
            </w:r>
          </w:p>
        </w:tc>
        <w:tc>
          <w:tcPr>
            <w:tcW w:w="708" w:type="dxa"/>
            <w:tcBorders>
              <w:tl2br w:val="nil"/>
              <w:tr2bl w:val="nil"/>
            </w:tcBorders>
            <w:noWrap/>
            <w:vAlign w:val="center"/>
          </w:tcPr>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计量</w:t>
            </w:r>
          </w:p>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单位</w:t>
            </w:r>
          </w:p>
        </w:tc>
        <w:tc>
          <w:tcPr>
            <w:tcW w:w="709" w:type="dxa"/>
            <w:tcBorders>
              <w:tl2br w:val="nil"/>
              <w:tr2bl w:val="nil"/>
            </w:tcBorders>
            <w:noWrap/>
            <w:vAlign w:val="center"/>
          </w:tcPr>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指标</w:t>
            </w:r>
          </w:p>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性质</w:t>
            </w:r>
          </w:p>
        </w:tc>
        <w:tc>
          <w:tcPr>
            <w:tcW w:w="844" w:type="dxa"/>
            <w:gridSpan w:val="2"/>
            <w:tcBorders>
              <w:tl2br w:val="nil"/>
              <w:tr2bl w:val="nil"/>
            </w:tcBorders>
            <w:noWrap/>
            <w:vAlign w:val="center"/>
          </w:tcPr>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指标</w:t>
            </w:r>
          </w:p>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值</w:t>
            </w:r>
          </w:p>
        </w:tc>
        <w:tc>
          <w:tcPr>
            <w:tcW w:w="972" w:type="dxa"/>
            <w:gridSpan w:val="2"/>
            <w:tcBorders>
              <w:tl2br w:val="nil"/>
              <w:tr2bl w:val="nil"/>
            </w:tcBorders>
            <w:noWrap/>
            <w:vAlign w:val="center"/>
          </w:tcPr>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全年</w:t>
            </w:r>
          </w:p>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完成值</w:t>
            </w:r>
          </w:p>
        </w:tc>
        <w:tc>
          <w:tcPr>
            <w:tcW w:w="948" w:type="dxa"/>
            <w:tcBorders>
              <w:tl2br w:val="nil"/>
              <w:tr2bl w:val="nil"/>
            </w:tcBorders>
            <w:noWrap/>
            <w:vAlign w:val="center"/>
          </w:tcPr>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偏离度（%）</w:t>
            </w:r>
          </w:p>
        </w:tc>
        <w:tc>
          <w:tcPr>
            <w:tcW w:w="1080" w:type="dxa"/>
            <w:tcBorders>
              <w:tl2br w:val="nil"/>
              <w:tr2bl w:val="nil"/>
            </w:tcBorders>
            <w:noWrap/>
            <w:vAlign w:val="center"/>
          </w:tcPr>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得分</w:t>
            </w:r>
          </w:p>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系数</w:t>
            </w:r>
          </w:p>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w:t>
            </w:r>
          </w:p>
        </w:tc>
        <w:tc>
          <w:tcPr>
            <w:tcW w:w="1092" w:type="dxa"/>
            <w:tcBorders>
              <w:tl2br w:val="nil"/>
              <w:tr2bl w:val="nil"/>
            </w:tcBorders>
            <w:noWrap/>
            <w:vAlign w:val="center"/>
          </w:tcPr>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指标</w:t>
            </w:r>
          </w:p>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权重</w:t>
            </w:r>
          </w:p>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（分）</w:t>
            </w:r>
          </w:p>
        </w:tc>
        <w:tc>
          <w:tcPr>
            <w:tcW w:w="1284" w:type="dxa"/>
            <w:gridSpan w:val="2"/>
            <w:tcBorders>
              <w:tl2br w:val="nil"/>
              <w:tr2bl w:val="nil"/>
            </w:tcBorders>
            <w:noWrap/>
            <w:vAlign w:val="center"/>
          </w:tcPr>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指标得分</w:t>
            </w:r>
          </w:p>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（分）</w:t>
            </w:r>
          </w:p>
        </w:tc>
        <w:tc>
          <w:tcPr>
            <w:tcW w:w="892" w:type="dxa"/>
            <w:tcBorders>
              <w:tl2br w:val="nil"/>
              <w:tr2bl w:val="nil"/>
            </w:tcBorders>
            <w:noWrap/>
            <w:vAlign w:val="center"/>
          </w:tcPr>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说明</w:t>
            </w:r>
          </w:p>
        </w:tc>
      </w:tr>
      <w:tr>
        <w:trPr>
          <w:trHeight w:val="935"/>
        </w:trPr>
        <w:tc>
          <w:tcPr>
            <w:tcW w:w="757" w:type="dxa"/>
            <w:vMerge/>
            <w:tcBorders>
              <w:tl2br w:val="nil"/>
              <w:tr2bl w:val="nil"/>
            </w:tcBorders>
            <w:noWrap/>
            <w:vAlign w:val="center"/>
          </w:tcPr>
          <w:p/>
        </w:tc>
        <w:tc>
          <w:tcPr>
            <w:tcW w:w="846" w:type="dxa"/>
            <w:tcBorders>
              <w:tl2br w:val="nil"/>
              <w:tr2bl w:val="nil"/>
            </w:tcBorders>
            <w:noWrap/>
            <w:vAlign w:val="center"/>
          </w:tcPr>
          <w:p>
            <w:pPr>
              <w:rPr>
                <w:rFonts w:ascii="宋体" w:cs="宋体"/>
                <w:color w:val="000000"/>
                <w:szCs w:val="21"/>
              </w:rPr>
            </w:pPr>
            <w:r>
              <w:rPr>
                <w:rFonts w:hint="eastAsia"/>
                <w:color w:val="000000"/>
                <w:szCs w:val="21"/>
              </w:rPr>
              <w:t>绿化面积</w:t>
            </w:r>
          </w:p>
        </w:tc>
        <w:tc>
          <w:tcPr>
            <w:tcW w:w="708" w:type="dxa"/>
            <w:tcBorders>
              <w:tl2br w:val="nil"/>
              <w:tr2bl w:val="nil"/>
            </w:tcBorders>
            <w:noWrap/>
            <w:vAlign w:val="center"/>
          </w:tcPr>
          <w:p>
            <w:pPr>
              <w:ind w:firstLineChars="100" w:firstLine="210"/>
              <w:rPr>
                <w:rFonts w:ascii="宋体" w:cs="宋体"/>
                <w:color w:val="000000"/>
                <w:szCs w:val="21"/>
              </w:rPr>
            </w:pPr>
            <w:r>
              <w:rPr>
                <w:rFonts w:hint="eastAsia"/>
                <w:color w:val="000000"/>
                <w:szCs w:val="21"/>
              </w:rPr>
              <w:t>平方米</w:t>
            </w:r>
          </w:p>
        </w:tc>
        <w:tc>
          <w:tcPr>
            <w:tcW w:w="709" w:type="dxa"/>
            <w:tcBorders>
              <w:tl2br w:val="nil"/>
              <w:tr2bl w:val="nil"/>
            </w:tcBorders>
            <w:noWrap/>
            <w:vAlign w:val="center"/>
          </w:tcPr>
          <w:p>
            <w:pPr>
              <w:ind w:firstLineChars="100" w:firstLine="210"/>
              <w:rPr>
                <w:rFonts w:ascii="宋体" w:cs="宋体"/>
                <w:color w:val="000000"/>
                <w:szCs w:val="21"/>
              </w:rPr>
            </w:pPr>
            <w:r>
              <w:rPr>
                <w:rFonts w:hint="eastAsia"/>
                <w:color w:val="000000"/>
                <w:szCs w:val="21"/>
              </w:rPr>
              <w:t>≥</w:t>
            </w:r>
          </w:p>
        </w:tc>
        <w:tc>
          <w:tcPr>
            <w:tcW w:w="844" w:type="dxa"/>
            <w:gridSpan w:val="2"/>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770000</w:t>
            </w:r>
          </w:p>
        </w:tc>
        <w:tc>
          <w:tcPr>
            <w:tcW w:w="972" w:type="dxa"/>
            <w:gridSpan w:val="2"/>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770900</w:t>
            </w:r>
          </w:p>
        </w:tc>
        <w:tc>
          <w:tcPr>
            <w:tcW w:w="948" w:type="dxa"/>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0.12</w:t>
            </w:r>
          </w:p>
        </w:tc>
        <w:tc>
          <w:tcPr>
            <w:tcW w:w="1080" w:type="dxa"/>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100</w:t>
            </w:r>
          </w:p>
        </w:tc>
        <w:tc>
          <w:tcPr>
            <w:tcW w:w="1092" w:type="dxa"/>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15</w:t>
            </w:r>
          </w:p>
        </w:tc>
        <w:tc>
          <w:tcPr>
            <w:tcW w:w="1284" w:type="dxa"/>
            <w:gridSpan w:val="2"/>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15</w:t>
            </w:r>
          </w:p>
        </w:tc>
        <w:tc>
          <w:tcPr>
            <w:tcW w:w="892" w:type="dxa"/>
            <w:tcBorders>
              <w:tl2br w:val="nil"/>
              <w:tr2bl w:val="nil"/>
            </w:tcBorders>
            <w:noWrap/>
            <w:vAlign w:val="center"/>
          </w:tcPr>
          <w:p>
            <w:pPr>
              <w:spacing w:line="260" w:lineRule="exact"/>
              <w:ind w:firstLineChars="100" w:firstLine="210"/>
              <w:rPr>
                <w:rFonts w:ascii="宋体" w:cs="宋体"/>
                <w:color w:val="000000"/>
                <w:szCs w:val="21"/>
              </w:rPr>
            </w:pPr>
          </w:p>
        </w:tc>
      </w:tr>
      <w:tr>
        <w:trPr>
          <w:trHeight w:val="408"/>
        </w:trPr>
        <w:tc>
          <w:tcPr>
            <w:tcW w:w="757" w:type="dxa"/>
            <w:vMerge/>
            <w:tcBorders>
              <w:tl2br w:val="nil"/>
              <w:tr2bl w:val="nil"/>
            </w:tcBorders>
            <w:noWrap/>
            <w:vAlign w:val="center"/>
          </w:tcPr>
          <w:p/>
        </w:tc>
        <w:tc>
          <w:tcPr>
            <w:tcW w:w="846" w:type="dxa"/>
            <w:tcBorders>
              <w:tl2br w:val="nil"/>
              <w:tr2bl w:val="nil"/>
            </w:tcBorders>
            <w:noWrap/>
            <w:vAlign w:val="center"/>
          </w:tcPr>
          <w:p>
            <w:pPr>
              <w:rPr>
                <w:rFonts w:ascii="宋体" w:cs="宋体"/>
                <w:color w:val="000000"/>
                <w:szCs w:val="21"/>
              </w:rPr>
            </w:pPr>
            <w:r>
              <w:rPr>
                <w:rFonts w:hint="eastAsia"/>
                <w:color w:val="000000"/>
                <w:szCs w:val="21"/>
              </w:rPr>
              <w:t>清扫面积</w:t>
            </w:r>
          </w:p>
        </w:tc>
        <w:tc>
          <w:tcPr>
            <w:tcW w:w="708" w:type="dxa"/>
            <w:tcBorders>
              <w:tl2br w:val="nil"/>
              <w:tr2bl w:val="nil"/>
            </w:tcBorders>
            <w:noWrap/>
            <w:vAlign w:val="center"/>
          </w:tcPr>
          <w:p>
            <w:pPr>
              <w:ind w:firstLineChars="100" w:firstLine="210"/>
              <w:rPr>
                <w:rFonts w:ascii="宋体" w:cs="宋体"/>
                <w:color w:val="000000"/>
                <w:szCs w:val="21"/>
              </w:rPr>
            </w:pPr>
            <w:r>
              <w:rPr>
                <w:rFonts w:hint="eastAsia"/>
                <w:color w:val="000000"/>
                <w:szCs w:val="21"/>
              </w:rPr>
              <w:t>平方米</w:t>
            </w:r>
          </w:p>
        </w:tc>
        <w:tc>
          <w:tcPr>
            <w:tcW w:w="709" w:type="dxa"/>
            <w:tcBorders>
              <w:tl2br w:val="nil"/>
              <w:tr2bl w:val="nil"/>
            </w:tcBorders>
            <w:noWrap/>
            <w:vAlign w:val="center"/>
          </w:tcPr>
          <w:p>
            <w:pPr>
              <w:ind w:firstLineChars="100" w:firstLine="210"/>
              <w:rPr>
                <w:rFonts w:ascii="宋体" w:cs="宋体"/>
                <w:color w:val="000000"/>
                <w:szCs w:val="21"/>
              </w:rPr>
            </w:pPr>
            <w:r>
              <w:rPr>
                <w:rFonts w:hint="eastAsia"/>
                <w:color w:val="000000"/>
                <w:szCs w:val="21"/>
              </w:rPr>
              <w:t>≥</w:t>
            </w:r>
          </w:p>
        </w:tc>
        <w:tc>
          <w:tcPr>
            <w:tcW w:w="844" w:type="dxa"/>
            <w:gridSpan w:val="2"/>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160000</w:t>
            </w:r>
          </w:p>
        </w:tc>
        <w:tc>
          <w:tcPr>
            <w:tcW w:w="972" w:type="dxa"/>
            <w:gridSpan w:val="2"/>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161600</w:t>
            </w:r>
          </w:p>
        </w:tc>
        <w:tc>
          <w:tcPr>
            <w:tcW w:w="948" w:type="dxa"/>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1</w:t>
            </w:r>
          </w:p>
        </w:tc>
        <w:tc>
          <w:tcPr>
            <w:tcW w:w="1080" w:type="dxa"/>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100</w:t>
            </w:r>
          </w:p>
        </w:tc>
        <w:tc>
          <w:tcPr>
            <w:tcW w:w="1092" w:type="dxa"/>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15</w:t>
            </w:r>
          </w:p>
        </w:tc>
        <w:tc>
          <w:tcPr>
            <w:tcW w:w="1284" w:type="dxa"/>
            <w:gridSpan w:val="2"/>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15</w:t>
            </w:r>
          </w:p>
        </w:tc>
        <w:tc>
          <w:tcPr>
            <w:tcW w:w="892" w:type="dxa"/>
            <w:tcBorders>
              <w:tl2br w:val="nil"/>
              <w:tr2bl w:val="nil"/>
            </w:tcBorders>
            <w:noWrap/>
            <w:vAlign w:val="center"/>
          </w:tcPr>
          <w:p>
            <w:pPr>
              <w:spacing w:line="260" w:lineRule="exact"/>
              <w:ind w:firstLineChars="100" w:firstLine="210"/>
              <w:rPr>
                <w:rFonts w:ascii="宋体" w:cs="宋体"/>
                <w:color w:val="000000"/>
                <w:szCs w:val="21"/>
              </w:rPr>
            </w:pPr>
          </w:p>
        </w:tc>
      </w:tr>
      <w:tr>
        <w:trPr>
          <w:trHeight w:val="408"/>
        </w:trPr>
        <w:tc>
          <w:tcPr>
            <w:tcW w:w="757" w:type="dxa"/>
            <w:vMerge/>
            <w:tcBorders>
              <w:tl2br w:val="nil"/>
              <w:tr2bl w:val="nil"/>
            </w:tcBorders>
            <w:noWrap/>
            <w:vAlign w:val="center"/>
          </w:tcPr>
          <w:p/>
        </w:tc>
        <w:tc>
          <w:tcPr>
            <w:tcW w:w="846" w:type="dxa"/>
            <w:tcBorders>
              <w:tl2br w:val="nil"/>
              <w:tr2bl w:val="nil"/>
            </w:tcBorders>
            <w:noWrap/>
            <w:vAlign w:val="center"/>
          </w:tcPr>
          <w:p>
            <w:pPr>
              <w:rPr>
                <w:rFonts w:ascii="宋体" w:cs="宋体"/>
                <w:color w:val="000000"/>
                <w:szCs w:val="21"/>
              </w:rPr>
            </w:pPr>
            <w:r>
              <w:rPr>
                <w:rFonts w:hint="eastAsia"/>
                <w:color w:val="000000"/>
                <w:szCs w:val="21"/>
              </w:rPr>
              <w:t>市政设施</w:t>
            </w:r>
          </w:p>
        </w:tc>
        <w:tc>
          <w:tcPr>
            <w:tcW w:w="708" w:type="dxa"/>
            <w:tcBorders>
              <w:tl2br w:val="nil"/>
              <w:tr2bl w:val="nil"/>
            </w:tcBorders>
            <w:noWrap/>
            <w:vAlign w:val="center"/>
          </w:tcPr>
          <w:p>
            <w:pPr>
              <w:ind w:firstLineChars="100" w:firstLine="210"/>
              <w:rPr>
                <w:rFonts w:ascii="宋体" w:cs="宋体"/>
                <w:color w:val="000000"/>
                <w:szCs w:val="21"/>
              </w:rPr>
            </w:pPr>
            <w:r>
              <w:rPr>
                <w:rFonts w:hint="eastAsia"/>
                <w:color w:val="000000"/>
                <w:szCs w:val="21"/>
              </w:rPr>
              <w:t>平方米</w:t>
            </w:r>
          </w:p>
        </w:tc>
        <w:tc>
          <w:tcPr>
            <w:tcW w:w="709" w:type="dxa"/>
            <w:tcBorders>
              <w:tl2br w:val="nil"/>
              <w:tr2bl w:val="nil"/>
            </w:tcBorders>
            <w:noWrap/>
            <w:vAlign w:val="center"/>
          </w:tcPr>
          <w:p>
            <w:pPr>
              <w:ind w:firstLineChars="100" w:firstLine="210"/>
              <w:rPr>
                <w:rFonts w:ascii="宋体" w:cs="宋体"/>
                <w:color w:val="000000"/>
                <w:szCs w:val="21"/>
              </w:rPr>
            </w:pPr>
            <w:r>
              <w:rPr>
                <w:rFonts w:hint="eastAsia"/>
                <w:color w:val="000000"/>
                <w:szCs w:val="21"/>
              </w:rPr>
              <w:t>≥</w:t>
            </w:r>
          </w:p>
        </w:tc>
        <w:tc>
          <w:tcPr>
            <w:tcW w:w="844" w:type="dxa"/>
            <w:gridSpan w:val="2"/>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150000</w:t>
            </w:r>
          </w:p>
        </w:tc>
        <w:tc>
          <w:tcPr>
            <w:tcW w:w="972" w:type="dxa"/>
            <w:gridSpan w:val="2"/>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150335</w:t>
            </w:r>
          </w:p>
        </w:tc>
        <w:tc>
          <w:tcPr>
            <w:tcW w:w="948" w:type="dxa"/>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0.22</w:t>
            </w:r>
          </w:p>
        </w:tc>
        <w:tc>
          <w:tcPr>
            <w:tcW w:w="1080" w:type="dxa"/>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100</w:t>
            </w:r>
          </w:p>
        </w:tc>
        <w:tc>
          <w:tcPr>
            <w:tcW w:w="1092" w:type="dxa"/>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15</w:t>
            </w:r>
          </w:p>
        </w:tc>
        <w:tc>
          <w:tcPr>
            <w:tcW w:w="1284" w:type="dxa"/>
            <w:gridSpan w:val="2"/>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15</w:t>
            </w:r>
          </w:p>
        </w:tc>
        <w:tc>
          <w:tcPr>
            <w:tcW w:w="892" w:type="dxa"/>
            <w:tcBorders>
              <w:tl2br w:val="nil"/>
              <w:tr2bl w:val="nil"/>
            </w:tcBorders>
            <w:noWrap/>
            <w:vAlign w:val="center"/>
          </w:tcPr>
          <w:p>
            <w:pPr>
              <w:spacing w:line="260" w:lineRule="exact"/>
              <w:ind w:firstLineChars="100" w:firstLine="210"/>
              <w:rPr>
                <w:rFonts w:ascii="宋体" w:cs="宋体"/>
                <w:color w:val="000000"/>
                <w:szCs w:val="21"/>
              </w:rPr>
            </w:pPr>
          </w:p>
        </w:tc>
      </w:tr>
      <w:tr>
        <w:trPr>
          <w:trHeight w:val="408"/>
        </w:trPr>
        <w:tc>
          <w:tcPr>
            <w:tcW w:w="757" w:type="dxa"/>
            <w:vMerge/>
            <w:tcBorders>
              <w:tl2br w:val="nil"/>
              <w:tr2bl w:val="nil"/>
            </w:tcBorders>
            <w:noWrap/>
            <w:vAlign w:val="center"/>
          </w:tcPr>
          <w:p/>
        </w:tc>
        <w:tc>
          <w:tcPr>
            <w:tcW w:w="846" w:type="dxa"/>
            <w:tcBorders>
              <w:tl2br w:val="nil"/>
              <w:tr2bl w:val="nil"/>
            </w:tcBorders>
            <w:noWrap/>
            <w:vAlign w:val="center"/>
          </w:tcPr>
          <w:p>
            <w:pPr>
              <w:rPr>
                <w:rFonts w:ascii="宋体" w:cs="宋体"/>
                <w:color w:val="000000"/>
                <w:szCs w:val="21"/>
              </w:rPr>
            </w:pPr>
            <w:r>
              <w:rPr>
                <w:rFonts w:hint="eastAsia"/>
                <w:color w:val="000000"/>
                <w:szCs w:val="21"/>
              </w:rPr>
              <w:t>鼎山公园管护天数</w:t>
            </w:r>
          </w:p>
        </w:tc>
        <w:tc>
          <w:tcPr>
            <w:tcW w:w="708" w:type="dxa"/>
            <w:tcBorders>
              <w:tl2br w:val="nil"/>
              <w:tr2bl w:val="nil"/>
            </w:tcBorders>
            <w:noWrap/>
            <w:vAlign w:val="center"/>
          </w:tcPr>
          <w:p>
            <w:pPr>
              <w:ind w:firstLineChars="100" w:firstLine="210"/>
              <w:rPr>
                <w:rFonts w:ascii="宋体" w:cs="宋体"/>
                <w:color w:val="000000"/>
                <w:szCs w:val="21"/>
              </w:rPr>
            </w:pPr>
            <w:r>
              <w:rPr>
                <w:rFonts w:hint="eastAsia"/>
                <w:color w:val="000000"/>
                <w:szCs w:val="21"/>
              </w:rPr>
              <w:t>天</w:t>
            </w:r>
          </w:p>
        </w:tc>
        <w:tc>
          <w:tcPr>
            <w:tcW w:w="709" w:type="dxa"/>
            <w:tcBorders>
              <w:tl2br w:val="nil"/>
              <w:tr2bl w:val="nil"/>
            </w:tcBorders>
            <w:noWrap/>
            <w:vAlign w:val="center"/>
          </w:tcPr>
          <w:p>
            <w:pPr>
              <w:ind w:firstLineChars="100" w:firstLine="210"/>
              <w:rPr>
                <w:rFonts w:ascii="宋体" w:cs="宋体"/>
                <w:color w:val="000000"/>
                <w:szCs w:val="21"/>
              </w:rPr>
            </w:pPr>
            <w:r>
              <w:rPr>
                <w:rFonts w:hint="eastAsia"/>
                <w:color w:val="000000"/>
                <w:szCs w:val="21"/>
              </w:rPr>
              <w:t>≥</w:t>
            </w:r>
          </w:p>
        </w:tc>
        <w:tc>
          <w:tcPr>
            <w:tcW w:w="844" w:type="dxa"/>
            <w:gridSpan w:val="2"/>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365</w:t>
            </w:r>
          </w:p>
        </w:tc>
        <w:tc>
          <w:tcPr>
            <w:tcW w:w="972" w:type="dxa"/>
            <w:gridSpan w:val="2"/>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365</w:t>
            </w:r>
          </w:p>
        </w:tc>
        <w:tc>
          <w:tcPr>
            <w:tcW w:w="948" w:type="dxa"/>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0</w:t>
            </w:r>
          </w:p>
        </w:tc>
        <w:tc>
          <w:tcPr>
            <w:tcW w:w="1080" w:type="dxa"/>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100</w:t>
            </w:r>
          </w:p>
        </w:tc>
        <w:tc>
          <w:tcPr>
            <w:tcW w:w="1092" w:type="dxa"/>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15</w:t>
            </w:r>
          </w:p>
        </w:tc>
        <w:tc>
          <w:tcPr>
            <w:tcW w:w="1284" w:type="dxa"/>
            <w:gridSpan w:val="2"/>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15</w:t>
            </w:r>
          </w:p>
        </w:tc>
        <w:tc>
          <w:tcPr>
            <w:tcW w:w="892" w:type="dxa"/>
            <w:tcBorders>
              <w:tl2br w:val="nil"/>
              <w:tr2bl w:val="nil"/>
            </w:tcBorders>
            <w:noWrap/>
            <w:vAlign w:val="center"/>
          </w:tcPr>
          <w:p>
            <w:pPr>
              <w:spacing w:line="260" w:lineRule="exact"/>
              <w:ind w:firstLineChars="100" w:firstLine="210"/>
              <w:rPr>
                <w:rFonts w:ascii="宋体" w:cs="宋体"/>
                <w:color w:val="000000"/>
                <w:szCs w:val="21"/>
              </w:rPr>
            </w:pPr>
          </w:p>
        </w:tc>
      </w:tr>
      <w:tr>
        <w:trPr>
          <w:trHeight w:val="408"/>
        </w:trPr>
        <w:tc>
          <w:tcPr>
            <w:tcW w:w="757" w:type="dxa"/>
            <w:vMerge/>
            <w:tcBorders>
              <w:tl2br w:val="nil"/>
              <w:tr2bl w:val="nil"/>
            </w:tcBorders>
            <w:noWrap/>
            <w:vAlign w:val="center"/>
          </w:tcPr>
          <w:p/>
        </w:tc>
        <w:tc>
          <w:tcPr>
            <w:tcW w:w="846" w:type="dxa"/>
            <w:tcBorders>
              <w:tl2br w:val="nil"/>
              <w:tr2bl w:val="nil"/>
            </w:tcBorders>
            <w:noWrap/>
            <w:vAlign w:val="center"/>
          </w:tcPr>
          <w:p>
            <w:pPr>
              <w:rPr>
                <w:rFonts w:ascii="宋体" w:cs="宋体"/>
                <w:color w:val="000000"/>
                <w:szCs w:val="21"/>
              </w:rPr>
            </w:pPr>
            <w:r>
              <w:rPr>
                <w:rFonts w:hint="eastAsia"/>
                <w:color w:val="000000"/>
                <w:szCs w:val="21"/>
              </w:rPr>
              <w:t>管护优良率</w:t>
            </w:r>
          </w:p>
        </w:tc>
        <w:tc>
          <w:tcPr>
            <w:tcW w:w="708" w:type="dxa"/>
            <w:tcBorders>
              <w:tl2br w:val="nil"/>
              <w:tr2bl w:val="nil"/>
            </w:tcBorders>
            <w:noWrap/>
            <w:vAlign w:val="center"/>
          </w:tcPr>
          <w:p>
            <w:pPr>
              <w:ind w:firstLineChars="100" w:firstLine="210"/>
              <w:rPr>
                <w:rFonts w:ascii="宋体" w:cs="宋体"/>
                <w:color w:val="000000"/>
                <w:szCs w:val="21"/>
              </w:rPr>
            </w:pPr>
            <w:r>
              <w:rPr>
                <w:rFonts w:hint="eastAsia"/>
                <w:color w:val="000000"/>
                <w:szCs w:val="21"/>
              </w:rPr>
              <w:t>%</w:t>
            </w:r>
          </w:p>
        </w:tc>
        <w:tc>
          <w:tcPr>
            <w:tcW w:w="709" w:type="dxa"/>
            <w:tcBorders>
              <w:tl2br w:val="nil"/>
              <w:tr2bl w:val="nil"/>
            </w:tcBorders>
            <w:noWrap/>
            <w:vAlign w:val="center"/>
          </w:tcPr>
          <w:p>
            <w:pPr>
              <w:ind w:firstLineChars="100" w:firstLine="210"/>
              <w:rPr>
                <w:rFonts w:ascii="宋体" w:cs="宋体"/>
                <w:color w:val="000000"/>
                <w:szCs w:val="21"/>
              </w:rPr>
            </w:pPr>
            <w:r>
              <w:rPr>
                <w:rFonts w:hint="eastAsia"/>
                <w:color w:val="000000"/>
                <w:szCs w:val="21"/>
              </w:rPr>
              <w:t>≥</w:t>
            </w:r>
          </w:p>
        </w:tc>
        <w:tc>
          <w:tcPr>
            <w:tcW w:w="844" w:type="dxa"/>
            <w:gridSpan w:val="2"/>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95</w:t>
            </w:r>
          </w:p>
        </w:tc>
        <w:tc>
          <w:tcPr>
            <w:tcW w:w="972" w:type="dxa"/>
            <w:gridSpan w:val="2"/>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95</w:t>
            </w:r>
          </w:p>
        </w:tc>
        <w:tc>
          <w:tcPr>
            <w:tcW w:w="948" w:type="dxa"/>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0</w:t>
            </w:r>
          </w:p>
        </w:tc>
        <w:tc>
          <w:tcPr>
            <w:tcW w:w="1080" w:type="dxa"/>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100</w:t>
            </w:r>
          </w:p>
        </w:tc>
        <w:tc>
          <w:tcPr>
            <w:tcW w:w="1092" w:type="dxa"/>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20</w:t>
            </w:r>
          </w:p>
        </w:tc>
        <w:tc>
          <w:tcPr>
            <w:tcW w:w="1284" w:type="dxa"/>
            <w:gridSpan w:val="2"/>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20</w:t>
            </w:r>
          </w:p>
        </w:tc>
        <w:tc>
          <w:tcPr>
            <w:tcW w:w="892" w:type="dxa"/>
            <w:tcBorders>
              <w:tl2br w:val="nil"/>
              <w:tr2bl w:val="nil"/>
            </w:tcBorders>
            <w:noWrap/>
            <w:vAlign w:val="center"/>
          </w:tcPr>
          <w:p>
            <w:pPr>
              <w:spacing w:line="260" w:lineRule="exact"/>
              <w:ind w:firstLineChars="100" w:firstLine="210"/>
              <w:rPr>
                <w:rFonts w:ascii="宋体" w:cs="宋体"/>
                <w:color w:val="000000"/>
                <w:szCs w:val="21"/>
              </w:rPr>
            </w:pPr>
          </w:p>
        </w:tc>
      </w:tr>
      <w:tr>
        <w:trPr>
          <w:trHeight w:val="384"/>
        </w:trPr>
        <w:tc>
          <w:tcPr>
            <w:tcW w:w="757" w:type="dxa"/>
            <w:vMerge/>
            <w:tcBorders>
              <w:tl2br w:val="nil"/>
              <w:tr2bl w:val="nil"/>
            </w:tcBorders>
            <w:noWrap/>
            <w:vAlign w:val="center"/>
          </w:tcPr>
          <w:p/>
        </w:tc>
        <w:tc>
          <w:tcPr>
            <w:tcW w:w="846" w:type="dxa"/>
            <w:tcBorders>
              <w:tl2br w:val="nil"/>
              <w:tr2bl w:val="nil"/>
            </w:tcBorders>
            <w:noWrap/>
            <w:vAlign w:val="center"/>
          </w:tcPr>
          <w:p>
            <w:pPr>
              <w:rPr>
                <w:rFonts w:ascii="宋体" w:cs="宋体"/>
                <w:color w:val="000000"/>
                <w:szCs w:val="21"/>
              </w:rPr>
            </w:pPr>
            <w:r>
              <w:rPr>
                <w:rFonts w:hint="eastAsia"/>
                <w:color w:val="000000"/>
                <w:szCs w:val="21"/>
              </w:rPr>
              <w:t>服务对象满意度</w:t>
            </w:r>
          </w:p>
        </w:tc>
        <w:tc>
          <w:tcPr>
            <w:tcW w:w="708" w:type="dxa"/>
            <w:tcBorders>
              <w:tl2br w:val="nil"/>
              <w:tr2bl w:val="nil"/>
            </w:tcBorders>
            <w:noWrap/>
            <w:vAlign w:val="center"/>
          </w:tcPr>
          <w:p>
            <w:pPr>
              <w:ind w:firstLineChars="100" w:firstLine="210"/>
              <w:rPr>
                <w:rFonts w:ascii="宋体" w:cs="宋体"/>
                <w:color w:val="000000"/>
                <w:szCs w:val="21"/>
              </w:rPr>
            </w:pPr>
            <w:r>
              <w:rPr>
                <w:rFonts w:hint="eastAsia"/>
                <w:color w:val="000000"/>
                <w:szCs w:val="21"/>
              </w:rPr>
              <w:t>%</w:t>
            </w:r>
          </w:p>
        </w:tc>
        <w:tc>
          <w:tcPr>
            <w:tcW w:w="709" w:type="dxa"/>
            <w:tcBorders>
              <w:tl2br w:val="nil"/>
              <w:tr2bl w:val="nil"/>
            </w:tcBorders>
            <w:noWrap/>
            <w:vAlign w:val="center"/>
          </w:tcPr>
          <w:p>
            <w:pPr>
              <w:ind w:firstLineChars="100" w:firstLine="210"/>
              <w:rPr>
                <w:rFonts w:ascii="宋体" w:cs="宋体"/>
                <w:color w:val="000000"/>
                <w:szCs w:val="21"/>
              </w:rPr>
            </w:pPr>
            <w:r>
              <w:rPr>
                <w:rFonts w:hint="eastAsia"/>
                <w:color w:val="000000"/>
                <w:szCs w:val="21"/>
              </w:rPr>
              <w:t>≥</w:t>
            </w:r>
          </w:p>
        </w:tc>
        <w:tc>
          <w:tcPr>
            <w:tcW w:w="844" w:type="dxa"/>
            <w:gridSpan w:val="2"/>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90</w:t>
            </w:r>
          </w:p>
        </w:tc>
        <w:tc>
          <w:tcPr>
            <w:tcW w:w="972" w:type="dxa"/>
            <w:gridSpan w:val="2"/>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90</w:t>
            </w:r>
          </w:p>
        </w:tc>
        <w:tc>
          <w:tcPr>
            <w:tcW w:w="948" w:type="dxa"/>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0</w:t>
            </w:r>
          </w:p>
        </w:tc>
        <w:tc>
          <w:tcPr>
            <w:tcW w:w="1080" w:type="dxa"/>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100</w:t>
            </w:r>
          </w:p>
        </w:tc>
        <w:tc>
          <w:tcPr>
            <w:tcW w:w="1092" w:type="dxa"/>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10</w:t>
            </w:r>
          </w:p>
        </w:tc>
        <w:tc>
          <w:tcPr>
            <w:tcW w:w="1284" w:type="dxa"/>
            <w:gridSpan w:val="2"/>
            <w:tcBorders>
              <w:tl2br w:val="nil"/>
              <w:tr2bl w:val="nil"/>
            </w:tcBorders>
            <w:noWrap/>
            <w:vAlign w:val="center"/>
          </w:tcPr>
          <w:p>
            <w:pPr>
              <w:ind w:firstLineChars="100" w:firstLine="210"/>
              <w:jc w:val="right"/>
              <w:rPr>
                <w:rFonts w:ascii="宋体" w:cs="宋体"/>
                <w:color w:val="000000"/>
                <w:szCs w:val="21"/>
              </w:rPr>
            </w:pPr>
            <w:r>
              <w:rPr>
                <w:rFonts w:hint="eastAsia"/>
                <w:color w:val="000000"/>
                <w:szCs w:val="21"/>
              </w:rPr>
              <w:t>10</w:t>
            </w:r>
          </w:p>
        </w:tc>
        <w:tc>
          <w:tcPr>
            <w:tcW w:w="892" w:type="dxa"/>
            <w:tcBorders>
              <w:tl2br w:val="nil"/>
              <w:tr2bl w:val="nil"/>
            </w:tcBorders>
            <w:noWrap/>
            <w:vAlign w:val="center"/>
          </w:tcPr>
          <w:p>
            <w:pPr>
              <w:spacing w:line="260" w:lineRule="exact"/>
              <w:ind w:firstLineChars="100" w:firstLine="210"/>
              <w:rPr>
                <w:rFonts w:ascii="宋体" w:cs="宋体"/>
                <w:color w:val="000000"/>
                <w:szCs w:val="21"/>
              </w:rPr>
            </w:pPr>
          </w:p>
        </w:tc>
      </w:tr>
    </w:tbl>
    <w:p>
      <w:pPr>
        <w:pStyle w:val="20"/>
        <w:numPr>
          <w:ilvl w:val="0"/>
          <w:numId w:val="7"/>
        </w:numPr>
        <w:tabs>
          <w:tab w:val="center" w:pos="4153"/>
          <w:tab w:val="left" w:pos="7275"/>
        </w:tabs>
        <w:spacing w:line="579" w:lineRule="exact"/>
        <w:ind w:left="0" w:firstLineChars="0" w:firstLine="643"/>
        <w:rPr>
          <w:rFonts w:ascii="宋体" w:eastAsia="方正仿宋_GBK" w:cs="方正仿宋_GBK" w:hAnsi="宋体"/>
          <w:b/>
          <w:kern w:val="0"/>
          <w:sz w:val="32"/>
          <w:szCs w:val="32"/>
        </w:rPr>
      </w:pPr>
      <w:r>
        <w:rPr>
          <w:rFonts w:ascii="宋体" w:eastAsia="方正仿宋_GBK" w:cs="方正仿宋_GBK" w:hAnsi="宋体" w:hint="eastAsia"/>
          <w:b/>
          <w:kern w:val="0"/>
          <w:sz w:val="32"/>
          <w:szCs w:val="32"/>
        </w:rPr>
        <w:t>绩效自评报告或案例</w:t>
      </w:r>
    </w:p>
    <w:p>
      <w:pPr>
        <w:pStyle w:val="20"/>
        <w:tabs>
          <w:tab w:val="center" w:pos="4153"/>
          <w:tab w:val="left" w:pos="7275"/>
        </w:tabs>
        <w:spacing w:line="579" w:lineRule="exact"/>
        <w:rPr>
          <w:rFonts w:ascii="宋体" w:eastAsia="方正仿宋_GBK" w:cs="方正仿宋_GBK" w:hAnsi="宋体"/>
          <w:kern w:val="0"/>
          <w:sz w:val="32"/>
          <w:szCs w:val="32"/>
        </w:rPr>
      </w:pPr>
      <w:r>
        <w:rPr>
          <w:rFonts w:ascii="宋体" w:eastAsia="方正仿宋_GBK" w:cs="方正仿宋_GBK" w:hAnsi="宋体" w:hint="eastAsia"/>
          <w:kern w:val="0"/>
          <w:sz w:val="32"/>
          <w:szCs w:val="32"/>
        </w:rPr>
        <w:t>本单位无此事项。</w:t>
      </w:r>
    </w:p>
    <w:p>
      <w:pPr>
        <w:pStyle w:val="20"/>
        <w:numPr>
          <w:ilvl w:val="0"/>
          <w:numId w:val="7"/>
        </w:numPr>
        <w:tabs>
          <w:tab w:val="center" w:pos="4153"/>
          <w:tab w:val="left" w:pos="7275"/>
        </w:tabs>
        <w:spacing w:line="579" w:lineRule="exact"/>
        <w:ind w:left="0" w:firstLineChars="0" w:firstLine="643"/>
        <w:rPr>
          <w:rFonts w:ascii="宋体" w:eastAsia="方正仿宋_GBK" w:cs="方正仿宋_GBK" w:hAnsi="宋体"/>
          <w:b/>
          <w:bCs/>
          <w:color w:val="000000"/>
          <w:kern w:val="0"/>
          <w:sz w:val="32"/>
          <w:szCs w:val="32"/>
        </w:rPr>
      </w:pPr>
      <w:r>
        <w:rPr>
          <w:rFonts w:ascii="宋体" w:eastAsia="方正仿宋_GBK" w:cs="方正仿宋_GBK" w:hAnsi="宋体" w:hint="eastAsia"/>
          <w:b/>
          <w:bCs/>
          <w:color w:val="000000"/>
          <w:kern w:val="0"/>
          <w:sz w:val="32"/>
          <w:szCs w:val="32"/>
        </w:rPr>
        <w:t>关于绩效自评结果的说明</w:t>
      </w:r>
    </w:p>
    <w:p>
      <w:pPr>
        <w:pStyle w:val="20"/>
        <w:tabs>
          <w:tab w:val="center" w:pos="4153"/>
          <w:tab w:val="left" w:pos="7275"/>
        </w:tabs>
        <w:spacing w:line="579" w:lineRule="exact"/>
        <w:ind w:left="640" w:firstLineChars="0" w:firstLine="0"/>
        <w:rPr>
          <w:rFonts w:ascii="宋体" w:eastAsia="方正仿宋_GBK" w:cs="方正仿宋_GBK" w:hAnsi="宋体"/>
          <w:kern w:val="0"/>
          <w:sz w:val="32"/>
          <w:szCs w:val="32"/>
        </w:rPr>
      </w:pPr>
      <w:r>
        <w:rPr>
          <w:rFonts w:ascii="宋体" w:eastAsia="方正仿宋_GBK" w:cs="方正仿宋_GBK" w:hAnsi="宋体" w:hint="eastAsia"/>
          <w:kern w:val="0"/>
          <w:sz w:val="32"/>
          <w:szCs w:val="32"/>
        </w:rPr>
        <w:t>我单位对预算项目均完成年度绩效目标自评。</w:t>
      </w:r>
    </w:p>
    <w:p>
      <w:pPr>
        <w:pStyle w:val="20"/>
        <w:tabs>
          <w:tab w:val="center" w:pos="4153"/>
          <w:tab w:val="left" w:pos="7275"/>
        </w:tabs>
        <w:spacing w:line="579" w:lineRule="exact"/>
        <w:outlineLvl w:val="1"/>
        <w:rPr>
          <w:rFonts w:ascii="宋体" w:eastAsia="方正楷体_GBK" w:cs="方正楷体_GBK" w:hAnsi="宋体"/>
          <w:color w:val="333333"/>
          <w:sz w:val="32"/>
          <w:szCs w:val="32"/>
        </w:rPr>
      </w:pPr>
      <w:r>
        <w:rPr>
          <w:rFonts w:ascii="宋体" w:eastAsia="方正楷体_GBK" w:cs="方正楷体_GBK" w:hAnsi="宋体" w:hint="eastAsia"/>
          <w:color w:val="333333"/>
          <w:sz w:val="32"/>
          <w:szCs w:val="32"/>
        </w:rPr>
        <w:t>（三）重点绩效评价结果</w:t>
      </w:r>
    </w:p>
    <w:p>
      <w:pPr>
        <w:pStyle w:val="20"/>
        <w:tabs>
          <w:tab w:val="center" w:pos="4153"/>
          <w:tab w:val="left" w:pos="7275"/>
        </w:tabs>
        <w:spacing w:line="579" w:lineRule="exact"/>
        <w:rPr>
          <w:rFonts w:ascii="宋体" w:eastAsia="方正仿宋_GBK" w:cs="方正仿宋_GBK" w:hAnsi="宋体"/>
          <w:kern w:val="0"/>
          <w:sz w:val="32"/>
          <w:szCs w:val="32"/>
        </w:rPr>
      </w:pPr>
      <w:r>
        <w:rPr>
          <w:rFonts w:ascii="宋体" w:eastAsia="方正仿宋_GBK" w:cs="方正仿宋_GBK" w:hAnsi="宋体" w:hint="eastAsia"/>
          <w:kern w:val="0"/>
          <w:sz w:val="32"/>
          <w:szCs w:val="32"/>
        </w:rPr>
        <w:t>本单位无此事项。</w:t>
      </w:r>
    </w:p>
    <w:p>
      <w:pPr>
        <w:pStyle w:val="20"/>
        <w:numPr>
          <w:ilvl w:val="0"/>
          <w:numId w:val="8"/>
        </w:numPr>
        <w:tabs>
          <w:tab w:val="center" w:pos="4153"/>
          <w:tab w:val="left" w:pos="7275"/>
        </w:tabs>
        <w:spacing w:line="579" w:lineRule="exact"/>
        <w:ind w:left="0" w:firstLineChars="0" w:firstLine="640"/>
        <w:outlineLvl w:val="0"/>
        <w:rPr>
          <w:rFonts w:ascii="宋体" w:eastAsia="方正黑体_GBK" w:cs="方正黑体_GBK" w:hAnsi="宋体"/>
          <w:sz w:val="32"/>
          <w:szCs w:val="32"/>
        </w:rPr>
      </w:pPr>
      <w:r>
        <w:rPr>
          <w:rFonts w:ascii="宋体" w:eastAsia="方正黑体_GBK" w:cs="方正黑体_GBK" w:hAnsi="宋体" w:hint="eastAsia"/>
          <w:sz w:val="32"/>
          <w:szCs w:val="32"/>
        </w:rPr>
        <w:t>专业名词解释</w:t>
      </w:r>
    </w:p>
    <w:p>
      <w:pPr>
        <w:pStyle w:val="20"/>
        <w:tabs>
          <w:tab w:val="center" w:pos="4153"/>
          <w:tab w:val="left" w:pos="7275"/>
        </w:tabs>
        <w:spacing w:line="579" w:lineRule="exact"/>
        <w:rPr>
          <w:rFonts w:ascii="宋体" w:eastAsia="方正仿宋_GBK" w:cs="方正仿宋_GBK" w:hAnsi="宋体"/>
          <w:sz w:val="32"/>
          <w:szCs w:val="32"/>
        </w:rPr>
      </w:pPr>
      <w:r>
        <w:rPr>
          <w:rFonts w:ascii="宋体" w:eastAsia="方正仿宋_GBK" w:cs="方正仿宋_GBK" w:hAnsi="宋体" w:hint="eastAsia"/>
          <w:sz w:val="32"/>
          <w:szCs w:val="32"/>
        </w:rPr>
        <w:t>部门应根据实际情况对专业名词进行解释，不得遗漏。</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（一）财政拨款收入：指本年度从本级财政部门取得的财政拨款，包括一般公共预算财政拨款和政府性基金预算财政拨款。</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（二）使用非财政拨款结余：指单位在当年的“财政拨款收入”、“事业收入”、“经营收入”、“其他收入”等不足以安排当年支出的情况下，使用以前年度积累的非财政拨款结余弥补本年度收支缺口的资金。</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（三）年初结转和结余：指单位上年结转本年使用的基本支出结转、项目支出结转和结余、经营结余。</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（四）年末结转和结余：指单位结转下年的基本支出结转、项目支出结转和结余、经营结余。</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五）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（六）项目支出：指在基本支出之外为完成特定行政任务和事业发展目标所发生的支出。</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七）“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（八）工资福利支出（支出经济分类科目类级）：反映单位开支的在职职工和编制外长期聘用人员的各类劳动报酬，以及为上述人员缴纳的各项社会保险费等。</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（九）商品和服务支出（支出经济分类科目类级）：反映单位购买商品和服务的支出（不包括用于购置固定资产的支出、战略性和应急储备支出）。</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（十）对个人和家庭的补助（支出经济分类科目类级）：反映用于对个人和家庭的补助支出。</w:t>
      </w:r>
    </w:p>
    <w:p>
      <w:pPr>
        <w:pStyle w:val="20"/>
        <w:tabs>
          <w:tab w:val="center" w:pos="4153"/>
          <w:tab w:val="left" w:pos="7275"/>
        </w:tabs>
        <w:spacing w:line="579" w:lineRule="exact"/>
        <w:outlineLvl w:val="0"/>
        <w:rPr>
          <w:rFonts w:ascii="宋体" w:eastAsia="方正黑体_GBK" w:cs="方正黑体_GBK" w:hAnsi="宋体"/>
          <w:sz w:val="32"/>
          <w:szCs w:val="32"/>
        </w:rPr>
      </w:pPr>
      <w:r>
        <w:rPr>
          <w:rFonts w:ascii="宋体" w:eastAsia="方正黑体_GBK" w:cs="方正黑体_GBK" w:hAnsi="宋体" w:hint="eastAsia"/>
          <w:sz w:val="32"/>
          <w:szCs w:val="32"/>
        </w:rPr>
        <w:t>七、决算公开联系方式</w:t>
      </w:r>
    </w:p>
    <w:p>
      <w:pPr>
        <w:pStyle w:val="18"/>
        <w:shd w:val="clear" w:color="auto" w:fill="FFFFFF"/>
        <w:spacing w:before="0" w:beforeAutospacing="0" w:after="0" w:afterAutospacing="0" w:line="579" w:lineRule="exact"/>
        <w:ind w:firstLineChars="200" w:firstLine="640"/>
        <w:jc w:val="both"/>
        <w:rPr>
          <w:rFonts w:ascii="宋体" w:eastAsia="方正仿宋_GBK" w:cs="方正仿宋_GBK" w:hAnsi="宋体"/>
          <w:sz w:val="32"/>
          <w:szCs w:val="32"/>
        </w:rPr>
      </w:pPr>
      <w:r>
        <w:rPr>
          <w:rFonts w:ascii="宋体" w:eastAsia="方正仿宋_GBK" w:cs="方正仿宋_GBK" w:hAnsi="宋体" w:hint="eastAsia"/>
          <w:sz w:val="32"/>
          <w:szCs w:val="32"/>
        </w:rPr>
        <w:t>本单位决算公开信息反馈和联系方式：</w:t>
      </w:r>
    </w:p>
    <w:p>
      <w:pPr>
        <w:pStyle w:val="18"/>
        <w:shd w:val="clear" w:color="auto" w:fill="FFFFFF"/>
        <w:spacing w:before="0" w:beforeAutospacing="0" w:after="0" w:afterAutospacing="0" w:line="579" w:lineRule="exact"/>
        <w:ind w:firstLineChars="200" w:firstLine="640"/>
        <w:jc w:val="both"/>
        <w:rPr>
          <w:rFonts w:ascii="宋体" w:eastAsia="方正仿宋_GBK" w:cs="方正仿宋_GBK" w:hAnsi="宋体"/>
          <w:sz w:val="32"/>
          <w:szCs w:val="32"/>
        </w:rPr>
      </w:pPr>
      <w:r>
        <w:rPr>
          <w:rFonts w:ascii="宋体" w:eastAsia="方正仿宋_GBK" w:cs="方正仿宋_GBK" w:hAnsi="宋体" w:hint="eastAsia"/>
          <w:sz w:val="32"/>
          <w:szCs w:val="32"/>
        </w:rPr>
        <w:t>联系人：黄典 联系电话：023-47529909</w:t>
      </w:r>
    </w:p>
    <w:sectPr>
      <w:footerReference w:type="default" r:id="rId2"/>
      <w:footerReference w:type="even" r:id="rId3"/>
      <w:pgSz w:w="11906" w:h="16838"/>
      <w:pgMar w:top="1587" w:right="1474" w:bottom="1474" w:left="1587" w:header="851" w:footer="1474"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203" w:usb1="288F0000" w:usb2="00000006" w:usb3="00000000" w:csb0="00040001" w:csb1="00000000"/>
  </w:font>
  <w:font w:name="方正仿宋_GBK">
    <w:panose1 w:val="03000509000000000000"/>
    <w:charset w:val="86"/>
    <w:family w:val="script"/>
    <w:pitch w:val="variable"/>
    <w:sig w:usb0="00000001" w:usb1="080E0000" w:usb2="00000000" w:usb3="00000000" w:csb0="00040000" w:csb1="00000000"/>
  </w:font>
  <w:font w:name="方正小标宋_GBK">
    <w:panose1 w:val="03000509000000000000"/>
    <w:charset w:val="86"/>
    <w:family w:val="script"/>
    <w:pitch w:val="variable"/>
    <w:sig w:usb0="00000001" w:usb1="080E0000" w:usb2="00000000" w:usb3="00000000" w:csb0="00040000" w:csb1="00000000"/>
  </w:font>
  <w:font w:name="方正黑体_GBK">
    <w:panose1 w:val="03000509000000000000"/>
    <w:charset w:val="86"/>
    <w:family w:val="script"/>
    <w:pitch w:val="variable"/>
    <w:sig w:usb0="00000001" w:usb1="080E0000" w:usb2="00000000" w:usb3="00000000" w:csb0="00040000" w:csb1="00000000"/>
  </w:font>
  <w:font w:name="方正楷体_GBK">
    <w:panose1 w:val="03000509000000000000"/>
    <w:charset w:val="86"/>
    <w:family w:val="script"/>
    <w:pitch w:val="variable"/>
    <w:sig w:usb0="00000001" w:usb1="080E0000" w:usb2="00000000" w:usb3="00000000" w:csb0="00040000" w:csb1="00000000"/>
  </w:font>
  <w:font w:name="仿宋_GB2312">
    <w:altName w:val="仿宋"/>
    <w:panose1 w:val="00000000000000000000"/>
    <w:charset w:val="86"/>
    <w:family w:val="modern"/>
    <w:pitch w:val="variable"/>
    <w:sig w:usb0="00000000" w:usb1="00000000" w:usb2="00000010" w:usb3="00000000" w:csb0="00040000" w:csb1="00000000"/>
  </w:font>
  <w:font w:name="Times New Roman">
    <w:panose1 w:val="02020603050405020304"/>
    <w:charset w:val="00"/>
    <w:family w:val="roman"/>
    <w:pitch w:val="variable"/>
    <w:sig w:usb0="20007A87" w:usb1="80000000" w:usb2="00000008"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tabs>
        <w:tab w:val="center" w:pos="4153"/>
        <w:tab w:val="right" w:pos="8306"/>
      </w:tabs>
      <w:jc w:val="right"/>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9</w:t>
    </w:r>
    <w:r>
      <w:rPr>
        <w:sz w:val="28"/>
        <w:szCs w:val="28"/>
      </w:rPr>
      <w:fldChar w:fldCharType="end"/>
    </w:r>
    <w:r>
      <w:rPr>
        <w:sz w:val="28"/>
        <w:szCs w:val="28"/>
      </w:rPr>
      <w:t xml:space="preserve">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tabs>
        <w:tab w:val="center" w:pos="4153"/>
        <w:tab w:val="right" w:pos="8306"/>
      </w:tabs>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10</w:t>
    </w:r>
    <w:r>
      <w:rPr>
        <w:sz w:val="28"/>
        <w:szCs w:val="28"/>
      </w:rPr>
      <w:fldChar w:fldCharType="end"/>
    </w:r>
    <w:r>
      <w:rPr>
        <w:sz w:val="28"/>
        <w:szCs w:val="28"/>
      </w:rPr>
      <w:t xml:space="preserve"> —</w: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7FC6D37E"/>
    <w:multiLevelType w:val="singleLevel"/>
    <w:tmpl w:val="7FC6D37E"/>
    <w:lvl w:ilvl="0">
      <w:start w:val="2"/>
      <w:numFmt w:val="chineseCounting"/>
      <w:lvlRestart w:val="0"/>
      <w:suff w:val="nothing"/>
      <w:lvlText w:val="（%1）"/>
      <w:lvlJc w:val="left"/>
      <w:pPr>
        <w:tabs>
          <w:tab w:val="num" w:pos="0"/>
        </w:tabs>
        <w:ind w:left="0" w:hanging="0"/>
      </w:pPr>
      <w:rPr>
        <w:rFonts w:hint="eastAsia"/>
      </w:rPr>
    </w:lvl>
  </w:abstractNum>
  <w:abstractNum w:abstractNumId="1">
    <w:nsid w:val="BF018CFE"/>
    <w:multiLevelType w:val="singleLevel"/>
    <w:tmpl w:val="BF018CFE"/>
    <w:lvl w:ilvl="0">
      <w:start w:val="2"/>
      <w:numFmt w:val="chineseCounting"/>
      <w:lvlRestart w:val="0"/>
      <w:suff w:val="nothing"/>
      <w:lvlText w:val="%1、"/>
      <w:lvlJc w:val="left"/>
      <w:pPr>
        <w:tabs>
          <w:tab w:val="num" w:pos="0"/>
        </w:tabs>
        <w:ind w:left="0" w:hanging="0"/>
      </w:pPr>
      <w:rPr>
        <w:rFonts w:hint="eastAsia"/>
      </w:rPr>
    </w:lvl>
  </w:abstractNum>
  <w:abstractNum w:abstractNumId="2">
    <w:nsid w:val="6BB1AE55"/>
    <w:multiLevelType w:val="singleLevel"/>
    <w:tmpl w:val="6BB1AE55"/>
    <w:lvl w:ilvl="0">
      <w:start w:val="1"/>
      <w:numFmt w:val="chineseCounting"/>
      <w:lvlRestart w:val="0"/>
      <w:suff w:val="nothing"/>
      <w:lvlText w:val="（%1）"/>
      <w:lvlJc w:val="left"/>
      <w:pPr>
        <w:tabs>
          <w:tab w:val="num" w:pos="0"/>
        </w:tabs>
        <w:ind w:left="0" w:hanging="0"/>
      </w:pPr>
      <w:rPr>
        <w:rFonts w:hint="eastAsia"/>
      </w:rPr>
    </w:lvl>
  </w:abstractNum>
  <w:abstractNum w:abstractNumId="3">
    <w:nsid w:val="170F8B3D"/>
    <w:multiLevelType w:val="singleLevel"/>
    <w:tmpl w:val="170F8B3D"/>
    <w:lvl w:ilvl="0">
      <w:start w:val="1"/>
      <w:numFmt w:val="decimal"/>
      <w:lvlRestart w:val="0"/>
      <w:suff w:val="space"/>
      <w:lvlText w:val="%1."/>
      <w:lvlJc w:val="left"/>
      <w:pPr>
        <w:tabs>
          <w:tab w:val="num" w:pos="0"/>
        </w:tabs>
        <w:ind w:left="0" w:hanging="0"/>
      </w:pPr>
    </w:lvl>
  </w:abstractNum>
  <w:abstractNum w:abstractNumId="4">
    <w:nsid w:val="C7DC43F0"/>
    <w:multiLevelType w:val="singleLevel"/>
    <w:tmpl w:val="C7DC43F0"/>
    <w:lvl w:ilvl="0">
      <w:start w:val="1"/>
      <w:numFmt w:val="decimal"/>
      <w:lvlRestart w:val="0"/>
      <w:suff w:val="space"/>
      <w:lvlText w:val="%1."/>
      <w:lvlJc w:val="left"/>
      <w:pPr>
        <w:tabs>
          <w:tab w:val="num" w:pos="0"/>
        </w:tabs>
        <w:ind w:left="0" w:hanging="0"/>
      </w:pPr>
    </w:lvl>
  </w:abstractNum>
  <w:abstractNum w:abstractNumId="5">
    <w:nsid w:val="FC092FFC"/>
    <w:multiLevelType w:val="singleLevel"/>
    <w:tmpl w:val="FC092FFC"/>
    <w:lvl w:ilvl="0">
      <w:start w:val="1"/>
      <w:numFmt w:val="decimal"/>
      <w:lvlRestart w:val="0"/>
      <w:suff w:val="nothing"/>
      <w:lvlText w:val="（%1）"/>
      <w:lvlJc w:val="left"/>
      <w:pPr>
        <w:tabs>
          <w:tab w:val="num" w:pos="0"/>
        </w:tabs>
        <w:ind w:left="0" w:hanging="0"/>
      </w:pPr>
    </w:lvl>
  </w:abstractNum>
  <w:abstractNum w:abstractNumId="6">
    <w:nsid w:val="36AF54E0"/>
    <w:multiLevelType w:val="singleLevel"/>
    <w:tmpl w:val="36AF54E0"/>
    <w:lvl w:ilvl="0">
      <w:start w:val="2"/>
      <w:numFmt w:val="decimal"/>
      <w:lvlRestart w:val="0"/>
      <w:suff w:val="space"/>
      <w:lvlText w:val="%1."/>
      <w:lvlJc w:val="left"/>
      <w:pPr>
        <w:tabs>
          <w:tab w:val="num" w:pos="0"/>
        </w:tabs>
        <w:ind w:left="0" w:hanging="0"/>
      </w:pPr>
    </w:lvl>
  </w:abstractNum>
  <w:abstractNum w:abstractNumId="7">
    <w:nsid w:val="BE15FB01"/>
    <w:multiLevelType w:val="singleLevel"/>
    <w:tmpl w:val="BE15FB01"/>
    <w:lvl w:ilvl="0">
      <w:start w:val="6"/>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74"/>
  <w:bordersDoNotSurroundHeader/>
  <w:bordersDoNotSurroundFooter/>
  <w:defaultTabStop w:val="420"/>
  <w:evenAndOddHeaders/>
  <w:drawingGridHorizontalSpacing w:val="210"/>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2"/>
      <w:lang w:val="en-US" w:eastAsia="zh-CN" w:bidi="ar-SA"/>
    </w:rPr>
  </w:style>
  <w:style w:type="character" w:default="1" w:styleId="10">
    <w:name w:val="Default Paragraph Font"/>
  </w:style>
  <w:style w:type="paragraph" w:styleId="15">
    <w:name w:val="Balloon Text"/>
    <w:basedOn w:val="0"/>
    <w:rPr>
      <w:sz w:val="18"/>
      <w:szCs w:val="18"/>
    </w:rPr>
  </w:style>
  <w:style w:type="paragraph" w:styleId="16">
    <w:name w:val="footer"/>
    <w:basedOn w:val="0"/>
    <w:pPr>
      <w:tabs>
        <w:tab w:val="center" w:pos="4153"/>
        <w:tab w:val="right" w:pos="8306"/>
      </w:tabs>
      <w:snapToGrid w:val="0"/>
      <w:jc w:val="left"/>
    </w:pPr>
    <w:rPr>
      <w:kern w:val="0"/>
      <w:sz w:val="18"/>
      <w:szCs w:val="18"/>
    </w:rPr>
  </w:style>
  <w:style w:type="paragraph" w:styleId="17">
    <w:name w:val="header"/>
    <w:basedOn w:val="0"/>
    <w:pPr>
      <w:pBdr>
        <w:bottom w:val="single" w:sz="6" w:space="1" w:color="auto"/>
      </w:pBdr>
      <w:tabs>
        <w:tab w:val="center" w:pos="4153"/>
        <w:tab w:val="right" w:pos="8306"/>
      </w:tabs>
      <w:snapToGrid w:val="0"/>
      <w:jc w:val="center"/>
    </w:pPr>
    <w:rPr>
      <w:kern w:val="0"/>
      <w:sz w:val="18"/>
      <w:szCs w:val="18"/>
    </w:rPr>
  </w:style>
  <w:style w:type="paragraph" w:styleId="18">
    <w:name w:val="Normal (Web)"/>
    <w:basedOn w:val="0"/>
    <w:pPr>
      <w:spacing w:before="100" w:beforeAutospacing="1" w:after="100" w:afterAutospacing="1"/>
      <w:jc w:val="left"/>
    </w:pPr>
    <w:rPr>
      <w:kern w:val="0"/>
      <w:sz w:val="24"/>
    </w:rPr>
  </w:style>
  <w:style w:type="character" w:styleId="19">
    <w:name w:val="Strong"/>
    <w:basedOn w:val="10"/>
    <w:rPr>
      <w:b/>
    </w:rPr>
  </w:style>
  <w:style w:type="paragraph" w:customStyle="1" w:styleId="20">
    <w:name w:val="List Paragraph"/>
    <w:basedOn w:val="0"/>
    <w:pPr>
      <w:ind w:firstLineChars="200" w:firstLine="200"/>
    </w:pPr>
  </w:style>
  <w:style w:type="paragraph" w:customStyle="1" w:styleId="21">
    <w:name w:val="普通(网站) Char"/>
    <w:basedOn w:val="0"/>
    <w:pPr>
      <w:spacing w:before="100" w:beforeAutospacing="1" w:after="100" w:afterAutospacing="1"/>
      <w:jc w:val="left"/>
    </w:pPr>
    <w:rPr>
      <w:rFonts w:ascii="宋体"/>
      <w:kern w:val="0"/>
      <w:sz w:val="24"/>
      <w:szCs w:val="24"/>
    </w:rPr>
  </w:style>
  <w:style w:type="character" w:customStyle="1" w:styleId="22">
    <w:name w:val="23"/>
    <w:basedOn w:val="10"/>
    <w:rPr>
      <w:rFonts w:ascii="Times New Roman" w:cs="Times New Roman" w:hAnsi="Times New Roman"/>
      <w:b/>
    </w:rPr>
  </w:style>
  <w:style w:type="character" w:customStyle="1" w:styleId="23">
    <w:name w:val="页脚 Char"/>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741</TotalTime>
  <Application>Yozo_Office</Application>
  <Pages>10</Pages>
  <Words>4399</Words>
  <Characters>5066</Characters>
  <Lines>373</Lines>
  <Paragraphs>200</Paragraphs>
  <CharactersWithSpaces>5084</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Microsoft</cp:lastModifiedBy>
  <cp:revision>54</cp:revision>
  <cp:lastPrinted>2023-08-10T09:16:00Z</cp:lastPrinted>
  <dcterms:created xsi:type="dcterms:W3CDTF">2021-07-06T14:32:00Z</dcterms:created>
  <dcterms:modified xsi:type="dcterms:W3CDTF">2025-09-11T08:16:14Z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2052-11.1.0.10938</vt:lpwstr>
  </property>
  <property fmtid="{D5CDD505-2E9C-101B-9397-08002B2CF9AE}" pid="3" name="ICV">
    <vt:lpwstr>C5C051BE58ED47B681D748640379E264</vt:lpwstr>
  </property>
</Properties>
</file>