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w:t>
      </w:r>
      <w:r>
        <w:rPr>
          <w:rFonts w:ascii="方正小标宋_GBK" w:eastAsia="方正小标宋_GBK" w:cs="方正小标宋_GBK" w:hint="eastAsia"/>
          <w:sz w:val="44"/>
          <w:szCs w:val="44"/>
        </w:rPr>
        <w:t>城市公用事业管理所</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kern w:val="0"/>
          <w:sz w:val="32"/>
          <w:szCs w:val="32"/>
        </w:rPr>
      </w:pPr>
      <w:r>
        <w:rPr>
          <w:rFonts w:ascii="方正仿宋_GBK" w:eastAsia="方正仿宋_GBK" w:cs="仿宋_GB2312" w:hint="eastAsia"/>
          <w:sz w:val="32"/>
        </w:rPr>
        <w:t>贯彻执行有关市政园林管理方面的法律、法规、规章和方针政策；负责城区主干道、重要节点和大型广场的市政设施、园林绿化的升级和改造；负责我区水域环境卫生清漂打捞作业；负责城区大型桥梁、遂道、设施的养护维修和管理；负责全区园林“三创”及城镇城区古树名木的申报、城市大型公园的管理承办城区范围的市政、园林、环卫配套设施项目的方案评审、审查和验收等具体事务</w:t>
      </w:r>
      <w:r>
        <w:rPr>
          <w:rFonts w:ascii="方正仿宋_GBK" w:eastAsia="方正仿宋_GBK" w:cs="方正仿宋_GBK" w:hint="eastAsia"/>
          <w:sz w:val="32"/>
        </w:rPr>
        <w:t>。</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rPr>
          <w:rFonts w:ascii="宋体" w:eastAsia="方正仿宋_GBK" w:cs="方正仿宋_GBK" w:hAnsi="宋体"/>
          <w:kern w:val="0"/>
          <w:sz w:val="32"/>
          <w:szCs w:val="32"/>
        </w:rPr>
      </w:pPr>
      <w:r>
        <w:rPr>
          <w:rFonts w:eastAsia="仿宋_GB2312"/>
          <w:sz w:val="32"/>
        </w:rPr>
        <w:t>重庆市</w:t>
      </w:r>
      <w:r>
        <w:rPr>
          <w:rFonts w:ascii="方正仿宋_GBK" w:eastAsia="方正仿宋_GBK" w:cs="方正仿宋_GBK" w:hint="eastAsia"/>
          <w:sz w:val="32"/>
        </w:rPr>
        <w:t>江津区城市公用事业管理所属全额拨款正科级事业单位，隶属于江津区城市管理局。编制部门核定单位事业编制人数为29人，实有在职职工27人，退休职工28人，设3科（设施科、公园科、水域科）1室（办公室）</w:t>
      </w:r>
      <w:r>
        <w:rPr>
          <w:rFonts w:ascii="宋体" w:eastAsia="方正仿宋_GBK" w:cs="方正仿宋_GBK" w:hAnsi="宋体" w:hint="eastAsia"/>
          <w:kern w:val="0"/>
          <w:sz w:val="32"/>
          <w:szCs w:val="32"/>
        </w:rPr>
        <w:t>。</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方正仿宋_GBK" w:eastAsia="方正仿宋_GBK" w:cs="方正仿宋_GBK"/>
          <w:sz w:val="32"/>
          <w:szCs w:val="32"/>
          <w:shd w:val="clear" w:color="auto" w:fill="FFFFFF"/>
        </w:rPr>
        <w:t>2655.47</w:t>
      </w:r>
      <w:r>
        <w:rPr>
          <w:rFonts w:ascii="宋体" w:eastAsia="方正仿宋_GBK" w:cs="方正仿宋_GBK" w:hAnsi="宋体" w:hint="eastAsia"/>
          <w:sz w:val="32"/>
          <w:szCs w:val="32"/>
        </w:rPr>
        <w:t>万元，支出总计</w:t>
      </w:r>
      <w:r>
        <w:rPr>
          <w:rFonts w:ascii="方正仿宋_GBK" w:eastAsia="方正仿宋_GBK" w:cs="方正仿宋_GBK"/>
          <w:sz w:val="32"/>
          <w:szCs w:val="32"/>
        </w:rPr>
        <w:t>2655.47</w:t>
      </w:r>
      <w:r>
        <w:rPr>
          <w:rFonts w:ascii="宋体" w:eastAsia="方正仿宋_GBK" w:cs="方正仿宋_GBK" w:hAnsi="宋体" w:hint="eastAsia"/>
          <w:sz w:val="32"/>
          <w:szCs w:val="32"/>
        </w:rPr>
        <w:t>万元。收支较上年增加</w:t>
      </w:r>
      <w:r>
        <w:rPr>
          <w:rFonts w:ascii="方正仿宋_GBK" w:eastAsia="方正仿宋_GBK" w:cs="方正仿宋_GBK"/>
          <w:sz w:val="32"/>
          <w:szCs w:val="32"/>
          <w:shd w:val="clear" w:color="auto" w:fill="FFFFFF"/>
        </w:rPr>
        <w:t>278.66</w:t>
      </w:r>
      <w:r>
        <w:rPr>
          <w:rFonts w:ascii="宋体" w:eastAsia="方正仿宋_GBK" w:cs="方正仿宋_GBK" w:hAnsi="宋体" w:hint="eastAsia"/>
          <w:sz w:val="32"/>
          <w:szCs w:val="32"/>
        </w:rPr>
        <w:t>万元，</w:t>
      </w:r>
      <w:r>
        <w:rPr>
          <w:rFonts w:ascii="宋体" w:eastAsia="方正仿宋_GBK" w:cs="方正仿宋_GBK" w:hAnsi="宋体" w:hint="eastAsia"/>
          <w:sz w:val="32"/>
        </w:rPr>
        <w:t>增长</w:t>
      </w:r>
      <w:r>
        <w:rPr>
          <w:rFonts w:ascii="方正仿宋_GBK" w:eastAsia="方正仿宋_GBK" w:cs="方正仿宋_GBK"/>
          <w:sz w:val="32"/>
          <w:szCs w:val="32"/>
          <w:shd w:val="clear" w:color="auto" w:fill="FFFFFF"/>
        </w:rPr>
        <w:t>11.7</w:t>
      </w:r>
      <w:r>
        <w:rPr>
          <w:rFonts w:ascii="宋体" w:eastAsia="方正仿宋_GBK" w:cs="方正仿宋_GBK" w:hAnsi="宋体" w:hint="eastAsia"/>
          <w:sz w:val="32"/>
          <w:szCs w:val="32"/>
        </w:rPr>
        <w:t>%，主要原因为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b/>
          <w:bCs/>
          <w:sz w:val="32"/>
          <w:szCs w:val="32"/>
        </w:rPr>
        <w:t>。</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2024年度本年收入合计2612.89万元，较上年增加328.33万元，</w:t>
      </w:r>
      <w:r>
        <w:rPr>
          <w:rFonts w:ascii="宋体" w:eastAsia="方正仿宋_GBK" w:cs="方正仿宋_GBK" w:hAnsi="宋体" w:hint="eastAsia"/>
          <w:sz w:val="32"/>
        </w:rPr>
        <w:t>增长</w:t>
      </w:r>
      <w:r>
        <w:rPr>
          <w:rFonts w:ascii="方正仿宋_GBK" w:eastAsia="方正仿宋_GBK" w:cs="方正仿宋_GBK"/>
          <w:sz w:val="32"/>
          <w:szCs w:val="32"/>
          <w:shd w:val="clear" w:color="auto" w:fill="FFFFFF"/>
        </w:rPr>
        <w:t>14.4</w:t>
      </w:r>
      <w:r>
        <w:rPr>
          <w:rFonts w:ascii="宋体" w:eastAsia="方正仿宋_GBK" w:cs="方正仿宋_GBK" w:hAnsi="宋体" w:hint="eastAsia"/>
          <w:sz w:val="32"/>
          <w:szCs w:val="32"/>
        </w:rPr>
        <w:t>%，主要原因为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szCs w:val="32"/>
        </w:rPr>
        <w:t>。其中：财政拨款收入</w:t>
      </w:r>
      <w:r>
        <w:rPr>
          <w:rFonts w:ascii="方正仿宋_GBK" w:eastAsia="方正仿宋_GBK" w:cs="方正仿宋_GBK"/>
          <w:sz w:val="32"/>
          <w:szCs w:val="32"/>
        </w:rPr>
        <w:t>2612.89</w:t>
      </w:r>
      <w:r>
        <w:rPr>
          <w:rFonts w:ascii="宋体" w:eastAsia="方正仿宋_GBK" w:cs="方正仿宋_GBK" w:hAnsi="宋体" w:hint="eastAsia"/>
          <w:sz w:val="32"/>
          <w:szCs w:val="32"/>
        </w:rPr>
        <w:t>万元，占比100%；事业收入0万元；其他收入0万元。</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21.71</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42.58</w:t>
      </w:r>
      <w:r>
        <w:rPr>
          <w:rFonts w:ascii="方正仿宋_GBK" w:eastAsia="方正仿宋_GBK" w:cs="方正仿宋_GBK"/>
          <w:sz w:val="32"/>
          <w:szCs w:val="32"/>
          <w:shd w:val="clear" w:color="auto" w:fill="FFFFFF"/>
        </w:rPr>
        <w:t>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2024年度本年支出合计2634.68万元，</w:t>
      </w:r>
      <w:r>
        <w:rPr>
          <w:rFonts w:ascii="宋体" w:eastAsia="方正仿宋_GBK" w:cs="方正仿宋_GBK" w:hAnsi="宋体" w:hint="eastAsia"/>
          <w:sz w:val="32"/>
        </w:rPr>
        <w:t>较上年增加300.46万元，</w:t>
      </w:r>
      <w:r>
        <w:rPr>
          <w:rFonts w:ascii="宋体" w:eastAsia="方正仿宋_GBK" w:cs="方正仿宋_GBK" w:hAnsi="宋体" w:hint="eastAsia"/>
          <w:sz w:val="32"/>
          <w:szCs w:val="32"/>
        </w:rPr>
        <w:t>增长12.87%，</w:t>
      </w:r>
      <w:r>
        <w:rPr>
          <w:rFonts w:ascii="宋体" w:eastAsia="方正仿宋_GBK" w:cs="方正仿宋_GBK" w:hAnsi="宋体" w:hint="eastAsia"/>
          <w:sz w:val="32"/>
        </w:rPr>
        <w:t>主要原因</w:t>
      </w:r>
      <w:r>
        <w:rPr>
          <w:rFonts w:ascii="宋体" w:eastAsia="方正仿宋_GBK" w:cs="方正仿宋_GBK" w:hAnsi="宋体" w:hint="eastAsia"/>
          <w:sz w:val="32"/>
          <w:szCs w:val="32"/>
        </w:rPr>
        <w:t>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其中：基本支出717.74万元，占比27.24%；项目支出1916.94万元，占比72.76%。</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2024年度年末结转和结余20.79万元，与2023年度相比减少21.71万元，主要原因是用于弥补经费不足</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2024年度财政拨款收入总计2612.89万元，支出总计2612.89万元。收支较</w:t>
      </w:r>
      <w:r>
        <w:rPr>
          <w:rFonts w:ascii="宋体" w:eastAsia="方正仿宋_GBK" w:cs="方正仿宋_GBK" w:hAnsi="宋体" w:hint="eastAsia"/>
          <w:sz w:val="32"/>
          <w:szCs w:val="32"/>
        </w:rPr>
        <w:t>上年增加328.33万元，增长14.37%</w:t>
      </w:r>
      <w:r>
        <w:rPr>
          <w:rFonts w:ascii="宋体" w:eastAsia="方正仿宋_GBK" w:cs="方正仿宋_GBK" w:hAnsi="宋体" w:hint="eastAsia"/>
          <w:sz w:val="32"/>
        </w:rPr>
        <w:t>，主要原因为</w:t>
      </w:r>
      <w:r>
        <w:rPr>
          <w:rFonts w:ascii="宋体" w:eastAsia="方正仿宋_GBK" w:cs="方正仿宋_GBK" w:hAnsi="宋体"/>
          <w:sz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2024年度一般公共预算财政拨款收入2284.9万元，较上年决算数增加26.46万元，增长1.17%，主要原因为</w:t>
      </w:r>
      <w:r>
        <w:rPr>
          <w:rFonts w:ascii="宋体" w:eastAsia="方正仿宋_GBK" w:cs="方正仿宋_GBK" w:hAnsi="宋体"/>
          <w:sz w:val="32"/>
        </w:rPr>
        <w:t>因人员晋职晋级及政策性工资调标导致基本支出人员经费增加</w:t>
      </w:r>
      <w:r>
        <w:rPr>
          <w:rFonts w:ascii="宋体" w:eastAsia="方正仿宋_GBK" w:cs="方正仿宋_GBK" w:hAnsi="宋体" w:hint="eastAsia"/>
          <w:sz w:val="32"/>
        </w:rPr>
        <w:t>。较年初预算数增加143.79万元，增长6.29%，主要原因是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2024年度一般公共预算财政拨款支出2284.9万元，较上年决算数增加26.46万元，增长1.17%，主要原因是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。较年初预算数增加143.79万元，增长6.29%，主要原因是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教育支出0.29万元，占比0.01%。较年初预算数减少3.02万元，下降91.24%，主要原因是</w:t>
      </w:r>
      <w:r>
        <w:rPr>
          <w:rFonts w:ascii="宋体" w:eastAsia="方正仿宋_GBK" w:cs="方正仿宋_GBK" w:hAnsi="宋体"/>
          <w:sz w:val="32"/>
        </w:rPr>
        <w:t>贯</w:t>
      </w:r>
      <w:bookmarkStart w:id="0" w:name="_GoBack"/>
      <w:bookmarkEnd w:id="0"/>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社会保障和就业支出156.26万元，占比6.84%。较年初预算数增加25.49万元，增长19.5%，主要原因是调整养老保险及职业年金缴款基数。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（3）卫生健康支出39.86万元。占比1.74%。较年初预算数减少0.64万元，下降1.6%，主要原因是根据相关规定调整医保缴费基数。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w:t>
      </w:r>
      <w:r>
        <w:rPr>
          <w:rFonts w:ascii="方正仿宋_GBK" w:eastAsia="方正仿宋_GBK" w:cs="方正仿宋_GBK"/>
          <w:sz w:val="32"/>
          <w:szCs w:val="32"/>
        </w:rPr>
        <w:t>2061.96</w:t>
      </w:r>
      <w:r>
        <w:rPr>
          <w:rFonts w:ascii="宋体" w:eastAsia="方正仿宋_GBK" w:cs="方正仿宋_GBK" w:hAnsi="宋体" w:hint="eastAsia"/>
          <w:sz w:val="32"/>
        </w:rPr>
        <w:t>万元，占比90.25%。较年初预算数增加121.96万元，增长6.3%，主要原因是</w:t>
      </w:r>
      <w:r>
        <w:rPr>
          <w:rFonts w:ascii="宋体" w:eastAsia="方正仿宋_GBK" w:cs="方正仿宋_GBK" w:hAnsi="宋体" w:hint="eastAsia"/>
          <w:sz w:val="32"/>
          <w:szCs w:val="32"/>
        </w:rPr>
        <w:t>追加晋职晋级及政策性工资调标人员经费及项目经费</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（5）住房保障支出26.53万元，占比1.16%。与年初预算数一致。</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w:t>
      </w:r>
      <w:r>
        <w:rPr>
          <w:rFonts w:ascii="方正仿宋_GBK" w:eastAsia="方正仿宋_GBK" w:cs="方正仿宋_GBK"/>
          <w:sz w:val="32"/>
          <w:szCs w:val="32"/>
        </w:rPr>
        <w:t>717.74</w:t>
      </w:r>
      <w:r>
        <w:rPr>
          <w:rFonts w:ascii="宋体" w:eastAsia="方正仿宋_GBK" w:cs="方正仿宋_GBK" w:hAnsi="宋体" w:hint="eastAsia"/>
          <w:sz w:val="32"/>
        </w:rPr>
        <w:t>万元。其中：人员经费</w:t>
      </w:r>
      <w:r>
        <w:rPr>
          <w:rFonts w:ascii="方正仿宋_GBK" w:eastAsia="方正仿宋_GBK" w:cs="方正仿宋_GBK"/>
          <w:sz w:val="32"/>
          <w:szCs w:val="32"/>
        </w:rPr>
        <w:t>620.77</w:t>
      </w:r>
      <w:r>
        <w:rPr>
          <w:rFonts w:ascii="宋体" w:eastAsia="方正仿宋_GBK" w:cs="方正仿宋_GBK" w:hAnsi="宋体" w:hint="eastAsia"/>
          <w:sz w:val="32"/>
        </w:rPr>
        <w:t>万元，主要用于基本工资、津贴补贴、绩效工资、社会保障缴费、住房公积金等，较上年决算数增加</w:t>
      </w:r>
      <w:r>
        <w:rPr>
          <w:rFonts w:ascii="方正仿宋_GBK" w:eastAsia="方正仿宋_GBK" w:cs="方正仿宋_GBK"/>
          <w:sz w:val="32"/>
          <w:szCs w:val="32"/>
          <w:shd w:val="clear" w:color="auto" w:fill="FFFFFF"/>
        </w:rPr>
        <w:t>17.09</w:t>
      </w:r>
      <w:r>
        <w:rPr>
          <w:rFonts w:ascii="宋体" w:eastAsia="方正仿宋_GBK" w:cs="方正仿宋_GBK" w:hAnsi="宋体" w:hint="eastAsia"/>
          <w:sz w:val="32"/>
        </w:rPr>
        <w:t>万元，增长</w:t>
      </w:r>
      <w:r>
        <w:rPr>
          <w:rFonts w:ascii="方正仿宋_GBK" w:eastAsia="方正仿宋_GBK" w:cs="方正仿宋_GBK"/>
          <w:sz w:val="32"/>
          <w:szCs w:val="32"/>
          <w:shd w:val="clear" w:color="auto" w:fill="FFFFFF"/>
        </w:rPr>
        <w:t>2.8</w:t>
      </w:r>
      <w:r>
        <w:rPr>
          <w:rFonts w:ascii="宋体" w:eastAsia="方正仿宋_GBK" w:cs="方正仿宋_GBK" w:hAnsi="宋体" w:hint="eastAsia"/>
          <w:sz w:val="32"/>
        </w:rPr>
        <w:t>%，主要原因是主要是因人员晋职晋级及政策性工资调标导致基本支出人员经费增加。公用经费</w:t>
      </w:r>
      <w:r>
        <w:rPr>
          <w:rFonts w:ascii="方正仿宋_GBK" w:eastAsia="方正仿宋_GBK" w:cs="方正仿宋_GBK"/>
          <w:sz w:val="32"/>
          <w:szCs w:val="32"/>
        </w:rPr>
        <w:t>96.98</w:t>
      </w:r>
      <w:r>
        <w:rPr>
          <w:rFonts w:ascii="宋体" w:eastAsia="方正仿宋_GBK" w:cs="方正仿宋_GBK" w:hAnsi="宋体" w:hint="eastAsia"/>
          <w:sz w:val="32"/>
        </w:rPr>
        <w:t>万元，主要用于办公经费、印刷费、水费、电费、维修费、其他商品服务支出等，较上年决算数减少</w:t>
      </w:r>
      <w:r>
        <w:rPr>
          <w:rFonts w:ascii="方正仿宋_GBK" w:eastAsia="方正仿宋_GBK" w:cs="方正仿宋_GBK"/>
          <w:sz w:val="32"/>
          <w:szCs w:val="32"/>
          <w:shd w:val="clear" w:color="auto" w:fill="FFFFFF"/>
        </w:rPr>
        <w:t>3.94</w:t>
      </w:r>
      <w:r>
        <w:rPr>
          <w:rFonts w:ascii="宋体" w:eastAsia="方正仿宋_GBK" w:cs="方正仿宋_GBK" w:hAnsi="宋体" w:hint="eastAsia"/>
          <w:sz w:val="32"/>
        </w:rPr>
        <w:t>万元，减少3.9%，主要原因是贯彻落实区委区政府党政机关过紧日子苦日子要求，压减一般性公用经费支出。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度政府性基金预算财政拨款年初结转结余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万元，年末结转结余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万元。本年收入</w:t>
      </w:r>
      <w:r>
        <w:rPr>
          <w:rFonts w:ascii="方正仿宋_GBK" w:eastAsia="方正仿宋_GBK" w:cs="方正仿宋_GBK" w:hint="eastAsia"/>
          <w:sz w:val="32"/>
          <w:szCs w:val="32"/>
        </w:rPr>
        <w:t>327.99</w:t>
      </w:r>
      <w:r>
        <w:rPr>
          <w:rFonts w:ascii="方正仿宋_GBK" w:eastAsia="方正仿宋_GBK" w:cs="方正仿宋_GBK"/>
          <w:sz w:val="32"/>
          <w:szCs w:val="32"/>
          <w:shd w:val="clear" w:color="auto" w:fill="FFFFFF"/>
        </w:rPr>
        <w:t>万元，与2023年度相比增加327.99万元，增长100.0%，主要原因是新增国家重大水利工程建设基金（三峡后续工作三峡水库清漂能力提升）项目拨款327.99万元，用于购置机械化清漂船一膄</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本年支出</w:t>
      </w:r>
      <w:r>
        <w:rPr>
          <w:rFonts w:ascii="方正仿宋_GBK" w:eastAsia="方正仿宋_GBK" w:cs="方正仿宋_GBK"/>
          <w:sz w:val="32"/>
          <w:szCs w:val="32"/>
        </w:rPr>
        <w:t>327.99</w:t>
      </w:r>
      <w:r>
        <w:rPr>
          <w:rFonts w:ascii="方正仿宋_GBK" w:eastAsia="方正仿宋_GBK" w:cs="方正仿宋_GBK"/>
          <w:sz w:val="32"/>
          <w:szCs w:val="32"/>
          <w:shd w:val="clear" w:color="auto" w:fill="FFFFFF"/>
        </w:rPr>
        <w:t>万元，与2023年度相比增加327.99万元，增长100.0%，主要原因是新增国家重大水利工程建设基金（三峡后续工作三峡水库清漂能力提升）项目拨款327.99万元，用于购置机械化清漂船一膄</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2024年度“三公”经费支出共计9万元，较年初预算数无增减。较上年支出数</w:t>
      </w:r>
      <w:r>
        <w:rPr>
          <w:rFonts w:ascii="方正仿宋_GBK" w:eastAsia="方正仿宋_GBK" w:cs="方正仿宋_GBK"/>
          <w:sz w:val="32"/>
          <w:szCs w:val="32"/>
          <w:shd w:val="clear" w:color="auto" w:fill="FFFFFF"/>
        </w:rPr>
        <w:t>增加0.07万元，增长0.8%</w:t>
      </w:r>
      <w:r>
        <w:rPr>
          <w:rFonts w:ascii="宋体" w:eastAsia="方正仿宋_GBK" w:cs="方正仿宋_GBK" w:hAnsi="宋体" w:hint="eastAsia"/>
          <w:sz w:val="32"/>
        </w:rPr>
        <w:t>，主要原因是严格按照标准执行。</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公务车运行维护费9万元，主要用于公务车维修、过路费、停车费等。费用支出较年初预算数</w:t>
      </w:r>
      <w:r>
        <w:rPr>
          <w:rFonts w:ascii="方正仿宋_GBK" w:eastAsia="方正仿宋_GBK" w:cs="方正仿宋_GBK"/>
          <w:sz w:val="32"/>
          <w:szCs w:val="32"/>
          <w:shd w:val="clear" w:color="auto" w:fill="FFFFFF"/>
        </w:rPr>
        <w:t>无增减</w:t>
      </w:r>
      <w:r>
        <w:rPr>
          <w:rFonts w:ascii="宋体" w:eastAsia="方正仿宋_GBK" w:cs="方正仿宋_GBK" w:hAnsi="宋体" w:hint="eastAsia"/>
          <w:sz w:val="32"/>
        </w:rPr>
        <w:t>，较上年支出数</w:t>
      </w:r>
      <w:r>
        <w:rPr>
          <w:rFonts w:ascii="方正仿宋_GBK" w:eastAsia="方正仿宋_GBK" w:cs="方正仿宋_GBK"/>
          <w:sz w:val="32"/>
          <w:szCs w:val="32"/>
          <w:shd w:val="clear" w:color="auto" w:fill="FFFFFF"/>
        </w:rPr>
        <w:t>数增加0.07万元，增长0.8%</w:t>
      </w:r>
      <w:r>
        <w:rPr>
          <w:rFonts w:ascii="宋体" w:eastAsia="方正仿宋_GBK" w:cs="方正仿宋_GBK" w:hAnsi="宋体" w:hint="eastAsia"/>
          <w:sz w:val="32"/>
        </w:rPr>
        <w:t>，主要原因是严格按照标准执行。</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公务接待费0万元，</w:t>
      </w:r>
      <w:r>
        <w:rPr>
          <w:rFonts w:ascii="方正仿宋_GBK" w:eastAsia="方正仿宋_GBK" w:cs="方正仿宋_GBK"/>
          <w:sz w:val="32"/>
          <w:szCs w:val="32"/>
          <w:shd w:val="clear" w:color="auto" w:fill="FFFFFF"/>
        </w:rPr>
        <w:t>费用支出较年初预算数无增减</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较上年支出数无增减</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4辆；国内公务接待0批次0人，其中：国内外事接待0批次0人；国（境）外公务接待0批次，0人。无人均接待费，车均购置费0万元，车均维护费2.25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万元，与2023年度相比，无增减。本年度培训费支出</w:t>
      </w:r>
      <w:r>
        <w:rPr>
          <w:rFonts w:ascii="方正仿宋_GBK" w:eastAsia="方正仿宋_GBK" w:cs="方正仿宋_GBK" w:hint="eastAsia"/>
          <w:sz w:val="32"/>
          <w:szCs w:val="32"/>
        </w:rPr>
        <w:t>0.29</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减少3.09</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下降91.4</w:t>
      </w:r>
      <w:r>
        <w:rPr>
          <w:rFonts w:ascii="方正仿宋_GBK" w:eastAsia="方正仿宋_GBK" w:cs="方正仿宋_GBK"/>
          <w:sz w:val="32"/>
          <w:szCs w:val="32"/>
          <w:shd w:val="clear" w:color="auto" w:fill="FFFFFF"/>
        </w:rPr>
        <w:t>%，主要原因是</w:t>
      </w:r>
      <w:r>
        <w:rPr>
          <w:rFonts w:ascii="宋体" w:eastAsia="方正仿宋_GBK" w:cs="方正仿宋_GBK" w:hAnsi="宋体" w:hint="eastAsia"/>
          <w:sz w:val="32"/>
        </w:rPr>
        <w:t>彻落实区委区政府党政机关过紧日子苦日子要求，压减培训费支出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4辆。其中：副部（省）级及以上领导用车0辆，主要负责人用车0辆，机要通信用车0辆，应急保障用车3辆，执法执勤用车0辆，特种专业技术用车1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w:t>
      </w:r>
      <w:r>
        <w:rPr>
          <w:rFonts w:ascii="方正仿宋_GBK" w:eastAsia="方正仿宋_GBK" w:cs="方正仿宋_GBK"/>
          <w:sz w:val="32"/>
          <w:szCs w:val="32"/>
        </w:rPr>
        <w:t>473.72</w:t>
      </w:r>
      <w:r>
        <w:rPr>
          <w:rFonts w:ascii="宋体" w:eastAsia="方正仿宋_GBK" w:cs="方正仿宋_GBK" w:hAnsi="宋体" w:hint="eastAsia"/>
          <w:sz w:val="32"/>
          <w:szCs w:val="32"/>
        </w:rPr>
        <w:t>万元，其中：政府采购货物支出353.92万元、政府采购工程支出0万元、政府采购服务支出119.8万元。授予中小企业合同金额471.22万元，占政府采购支出总额的99.47%，其中：授予小微企业合同金额351.42万元，占政府采购支出总额的74.18%。</w:t>
      </w:r>
      <w:r>
        <w:rPr>
          <w:rFonts w:ascii="宋体" w:eastAsia="方正仿宋_GBK" w:cs="方正仿宋_GBK" w:hAnsi="宋体" w:hint="eastAsia"/>
          <w:sz w:val="32"/>
        </w:rPr>
        <w:t>主要用于采购电脑、打印机、桥隧经检定检、清漂船舶等。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根据预算绩效管理要求，我所对19个项目开展了绩效自评，其中，以填报目标自评表形式开展自评19项，涉及资金1895.14万元。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846"/>
        <w:gridCol w:w="708"/>
        <w:gridCol w:w="709"/>
        <w:gridCol w:w="459"/>
        <w:gridCol w:w="385"/>
        <w:gridCol w:w="684"/>
        <w:gridCol w:w="288"/>
        <w:gridCol w:w="948"/>
        <w:gridCol w:w="1080"/>
        <w:gridCol w:w="1092"/>
        <w:gridCol w:w="938"/>
        <w:gridCol w:w="346"/>
        <w:gridCol w:w="892"/>
      </w:tblGrid>
      <w:tr>
        <w:trPr>
          <w:trHeight w:val="757"/>
        </w:trPr>
        <w:tc>
          <w:tcPr>
            <w:tcW w:w="757"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791"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鼎山公园管护</w:t>
            </w:r>
          </w:p>
        </w:tc>
        <w:tc>
          <w:tcPr>
            <w:tcW w:w="1236"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57"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54"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168"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069"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236"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汪水婧</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18100866517</w:t>
            </w:r>
          </w:p>
        </w:tc>
      </w:tr>
      <w:tr>
        <w:trPr>
          <w:trHeight w:val="1029"/>
        </w:trPr>
        <w:tc>
          <w:tcPr>
            <w:tcW w:w="75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54"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16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069"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316"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57" w:type="dxa"/>
            <w:vMerge/>
            <w:tcBorders>
              <w:tl2br w:val="nil"/>
              <w:tr2bl w:val="nil"/>
            </w:tcBorders>
            <w:noWrap/>
            <w:vAlign w:val="center"/>
          </w:tcPr>
          <w:p/>
        </w:tc>
        <w:tc>
          <w:tcPr>
            <w:tcW w:w="1554" w:type="dxa"/>
            <w:gridSpan w:val="2"/>
            <w:vMerge/>
            <w:tcBorders>
              <w:tl2br w:val="nil"/>
              <w:tr2bl w:val="nil"/>
            </w:tcBorders>
            <w:noWrap/>
            <w:vAlign w:val="center"/>
          </w:tcPr>
          <w:p/>
        </w:tc>
        <w:tc>
          <w:tcPr>
            <w:tcW w:w="1168"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69"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2316" w:type="dxa"/>
            <w:gridSpan w:val="3"/>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57" w:type="dxa"/>
            <w:vMerge/>
            <w:tcBorders>
              <w:tl2br w:val="nil"/>
              <w:tr2bl w:val="nil"/>
            </w:tcBorders>
            <w:noWrap/>
            <w:vAlign w:val="center"/>
          </w:tcPr>
          <w:p/>
        </w:tc>
        <w:tc>
          <w:tcPr>
            <w:tcW w:w="1554"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168"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69"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2316" w:type="dxa"/>
            <w:gridSpan w:val="3"/>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5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10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757" w:type="dxa"/>
            <w:vMerge/>
            <w:tcBorders>
              <w:tl2br w:val="nil"/>
              <w:tr2bl w:val="nil"/>
            </w:tcBorders>
            <w:noWrap/>
            <w:vAlign w:val="center"/>
          </w:tcPr>
          <w:p/>
        </w:tc>
        <w:tc>
          <w:tcPr>
            <w:tcW w:w="3107" w:type="dxa"/>
            <w:gridSpan w:val="5"/>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对公园77.09万平方米绿化管护；16.16万平方米清扫保洁；15座公厕管理维护；1409盏路灯维护；15.0335万平方米市政道路维护；鼎山公园水费、足球场运维、直饮水及检测滤芯更换等。</w:t>
            </w:r>
          </w:p>
        </w:tc>
        <w:tc>
          <w:tcPr>
            <w:tcW w:w="3000"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对公园77.09万平方米绿化管护；16.16万平方米清扫保洁；15座公厕管理维护；1409盏路灯维护；15.0335万平方米市政道路维护；鼎山公园水费、足球场运维、直饮水及检测滤芯更换等。</w:t>
            </w:r>
          </w:p>
        </w:tc>
        <w:tc>
          <w:tcPr>
            <w:tcW w:w="3268"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完成对公园77.09万平方米绿化管护；16.16万平方米清扫保洁；15座公厕管理维护；1409盏路灯维护；15.0335万平方米市政道路维护；鼎山公园水费支付、足球场运维、直饮水及检测滤芯更换等。</w:t>
            </w:r>
          </w:p>
        </w:tc>
      </w:tr>
      <w:tr>
        <w:trPr>
          <w:trHeight w:val="469"/>
        </w:trPr>
        <w:tc>
          <w:tcPr>
            <w:tcW w:w="75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46"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935"/>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绿化面积</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770000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770900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0.12</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清扫面积</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160000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161600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市政设施</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150335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0.22</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鼎山公园管护天数</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天</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365</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365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管护优良率</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95</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20</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20</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384"/>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服务对象满意度</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ind w:left="640" w:firstLineChars="0" w:firstLine="0"/>
        <w:rPr>
          <w:rFonts w:ascii="宋体" w:eastAsia="方正仿宋_GBK" w:cs="方正仿宋_GBK" w:hAnsi="宋体"/>
          <w:kern w:val="0"/>
          <w:sz w:val="32"/>
          <w:szCs w:val="32"/>
        </w:rPr>
      </w:pPr>
      <w:r>
        <w:rPr>
          <w:rFonts w:ascii="宋体" w:eastAsia="方正仿宋_GBK" w:cs="方正仿宋_GBK" w:hAnsi="宋体" w:hint="eastAsia"/>
          <w:kern w:val="0"/>
          <w:sz w:val="32"/>
          <w:szCs w:val="32"/>
        </w:rPr>
        <w:t>我单位对预算项目均完成年度绩效目标自评。</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4"/>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741</TotalTime>
  <Application>Yozo_Office</Application>
  <Pages>10</Pages>
  <Words>4398</Words>
  <Characters>5065</Characters>
  <Lines>373</Lines>
  <Paragraphs>200</Paragraphs>
  <CharactersWithSpaces>5083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54</cp:revision>
  <cp:lastPrinted>2023-08-10T09:16:00Z</cp:lastPrinted>
  <dcterms:created xsi:type="dcterms:W3CDTF">2021-07-06T14:32:00Z</dcterms:created>
  <dcterms:modified xsi:type="dcterms:W3CDTF">2025-08-22T07:21:43Z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ies>
</file>