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rPr>
          <w:rFonts w:ascii="宋体" w:eastAsia="方正仿宋_GBK" w:cs="方正仿宋_GBK" w:hAnsi="宋体"/>
          <w:sz w:val="44"/>
          <w:szCs w:val="44"/>
        </w:rPr>
      </w:pP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重庆市江津区数字化城市管理中心</w:t>
      </w: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2024年度决算公开说明</w:t>
      </w:r>
    </w:p>
    <w:p>
      <w:pPr>
        <w:spacing w:line="579" w:lineRule="exact"/>
        <w:ind w:firstLineChars="250" w:firstLine="1100"/>
        <w:rPr>
          <w:rFonts w:ascii="宋体" w:eastAsia="方正仿宋_GBK" w:cs="方正仿宋_GBK" w:hAnsi="宋体"/>
          <w:sz w:val="44"/>
          <w:szCs w:val="44"/>
        </w:rPr>
      </w:pP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一、单位基本情况</w:t>
      </w:r>
    </w:p>
    <w:p>
      <w:pPr>
        <w:spacing w:line="579" w:lineRule="exact"/>
        <w:ind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（一）职能职责</w:t>
      </w:r>
    </w:p>
    <w:p>
      <w:pPr>
        <w:spacing w:line="600" w:lineRule="exact"/>
        <w:ind w:firstLineChars="200" w:firstLine="640"/>
        <w:rPr>
          <w:rFonts w:ascii="仿宋_GB2312" w:eastAsia="仿宋_GB2312" w:cs="仿宋_GB2312"/>
          <w:sz w:val="32"/>
        </w:rPr>
      </w:pPr>
      <w:r>
        <w:rPr>
          <w:rFonts w:ascii="仿宋_GB2312" w:eastAsia="仿宋_GB2312" w:cs="仿宋_GB2312" w:hint="eastAsia"/>
          <w:sz w:val="32"/>
        </w:rPr>
        <w:t>1.负责数字化城市管理信息系统的建设、维护和日常管理工作；2.负责全区数字化城市管理相关业务的培训工作；3.负责采集和派遣各类城市管理问题；4.负责承办12319城市管理服务热线的具体工作；5.负责对数字化城市管理各责任部门处置城市管理问题的情况进行监督、评价，为考核提供依据；6.承办行政主管部门交办的其他任务。</w:t>
      </w:r>
    </w:p>
    <w:p>
      <w:pPr>
        <w:numPr>
          <w:ilvl w:val="0"/>
          <w:numId w:val="1"/>
        </w:numPr>
        <w:spacing w:line="579" w:lineRule="exact"/>
        <w:ind w:left="0"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机构设置</w:t>
      </w:r>
    </w:p>
    <w:p>
      <w:pPr>
        <w:spacing w:line="600" w:lineRule="exact"/>
        <w:rPr>
          <w:rFonts w:eastAsia="方正仿宋_GBK"/>
          <w:sz w:val="32"/>
          <w:szCs w:val="32"/>
        </w:rPr>
      </w:pPr>
      <w:r>
        <w:rPr>
          <w:rFonts w:ascii="宋体" w:eastAsia="方正仿宋_GBK" w:cs="仿宋_GB2312" w:hAnsi="宋体" w:hint="eastAsia"/>
          <w:color w:val="000000"/>
          <w:sz w:val="32"/>
          <w:szCs w:val="32"/>
        </w:rPr>
        <w:t xml:space="preserve">    重庆市江津区数字化城市管理中心为重庆市江津区城市管理局管理</w:t>
      </w:r>
      <w:r>
        <w:rPr>
          <w:rFonts w:ascii="仿宋_GB2312" w:eastAsia="仿宋_GB2312" w:cs="仿宋_GB2312" w:hint="eastAsia"/>
          <w:sz w:val="32"/>
        </w:rPr>
        <w:t>下属全额拨款事业单位</w:t>
      </w:r>
      <w:r>
        <w:rPr>
          <w:rFonts w:ascii="宋体" w:eastAsia="方正仿宋_GBK" w:cs="仿宋_GB2312" w:hAnsi="宋体" w:hint="eastAsia"/>
          <w:color w:val="000000"/>
          <w:sz w:val="32"/>
          <w:szCs w:val="32"/>
        </w:rPr>
        <w:t>。核定事业编制16名，实有在职职工15人。根据上述职责任务，重庆市江津区数字化城市管理中心设置两科一室，分别是办公室、技术保障科、监督指挥科。</w:t>
      </w:r>
    </w:p>
    <w:p>
      <w:pPr>
        <w:numPr>
          <w:ilvl w:val="0"/>
          <w:numId w:val="2"/>
        </w:numPr>
        <w:spacing w:line="579" w:lineRule="exact"/>
        <w:ind w:left="0" w:firstLineChars="20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部门决算情况</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部门收支总体情况</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收入支出总体情况。</w:t>
      </w:r>
      <w:r>
        <w:rPr>
          <w:rFonts w:ascii="宋体" w:eastAsia="方正仿宋_GBK" w:cs="方正仿宋_GBK" w:hAnsi="宋体" w:hint="eastAsia"/>
          <w:sz w:val="32"/>
          <w:szCs w:val="32"/>
        </w:rPr>
        <w:t>2024年度收入总计</w:t>
      </w:r>
      <w:r>
        <w:rPr>
          <w:rFonts w:ascii="宋体" w:eastAsia="方正仿宋_GBK" w:cs="方正仿宋_GBK" w:hAnsi="宋体"/>
          <w:sz w:val="32"/>
          <w:szCs w:val="32"/>
        </w:rPr>
        <w:t>555.98</w:t>
      </w:r>
      <w:r>
        <w:rPr>
          <w:rFonts w:ascii="宋体" w:eastAsia="方正仿宋_GBK" w:cs="方正仿宋_GBK" w:hAnsi="宋体" w:hint="eastAsia"/>
          <w:sz w:val="32"/>
          <w:szCs w:val="32"/>
        </w:rPr>
        <w:t>万元，支出总计</w:t>
      </w:r>
      <w:r>
        <w:rPr>
          <w:rFonts w:ascii="宋体" w:eastAsia="方正仿宋_GBK" w:cs="方正仿宋_GBK" w:hAnsi="宋体"/>
          <w:sz w:val="32"/>
          <w:szCs w:val="32"/>
        </w:rPr>
        <w:t>555.98</w:t>
      </w:r>
      <w:r>
        <w:rPr>
          <w:rFonts w:ascii="宋体" w:eastAsia="方正仿宋_GBK" w:cs="方正仿宋_GBK" w:hAnsi="宋体" w:hint="eastAsia"/>
          <w:sz w:val="32"/>
          <w:szCs w:val="32"/>
        </w:rPr>
        <w:t>万元。收支较上年减少160.16万元，下降22.4%，主要原因为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苦日子思想，落实区级增收节支措施，一般公共预算公用经费及项目支出拨款减少</w:t>
      </w:r>
      <w:r>
        <w:rPr>
          <w:rFonts w:ascii="宋体" w:eastAsia="方正仿宋_GBK" w:cs="方正仿宋_GBK" w:hAnsi="宋体" w:hint="eastAsia"/>
          <w:sz w:val="32"/>
          <w:szCs w:val="32"/>
        </w:rPr>
        <w:t>。</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收入情况。</w:t>
      </w:r>
      <w:r>
        <w:rPr>
          <w:rFonts w:ascii="宋体" w:eastAsia="方正仿宋_GBK" w:cs="方正仿宋_GBK" w:hAnsi="宋体" w:hint="eastAsia"/>
          <w:sz w:val="32"/>
          <w:szCs w:val="32"/>
        </w:rPr>
        <w:t>2024年度本年收入合计</w:t>
      </w:r>
      <w:r>
        <w:rPr>
          <w:rFonts w:ascii="宋体" w:eastAsia="方正仿宋_GBK" w:cs="方正仿宋_GBK" w:hAnsi="宋体"/>
          <w:sz w:val="32"/>
          <w:szCs w:val="32"/>
        </w:rPr>
        <w:t>555.98</w:t>
      </w:r>
      <w:r>
        <w:rPr>
          <w:rFonts w:ascii="宋体" w:eastAsia="方正仿宋_GBK" w:cs="方正仿宋_GBK" w:hAnsi="宋体" w:hint="eastAsia"/>
          <w:sz w:val="32"/>
          <w:szCs w:val="32"/>
        </w:rPr>
        <w:t>万元，较上年减少153.49万元，下降21.63%，为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苦日子思想，落实区级增收节支措施，一般公共预算公用经费及项目支出拨款减少</w:t>
      </w:r>
      <w:r>
        <w:rPr>
          <w:rFonts w:ascii="宋体" w:eastAsia="方正仿宋_GBK" w:cs="方正仿宋_GBK" w:hAnsi="宋体" w:hint="eastAsia"/>
          <w:sz w:val="32"/>
          <w:szCs w:val="32"/>
        </w:rPr>
        <w:t>。其中：财政拨款收入</w:t>
      </w:r>
      <w:r>
        <w:rPr>
          <w:rFonts w:ascii="宋体" w:eastAsia="方正仿宋_GBK" w:cs="方正仿宋_GBK" w:hAnsi="宋体"/>
          <w:sz w:val="32"/>
          <w:szCs w:val="32"/>
        </w:rPr>
        <w:t>555.98</w:t>
      </w:r>
      <w:r>
        <w:rPr>
          <w:rFonts w:ascii="宋体" w:eastAsia="方正仿宋_GBK" w:cs="方正仿宋_GBK" w:hAnsi="宋体" w:hint="eastAsia"/>
          <w:sz w:val="32"/>
          <w:szCs w:val="32"/>
        </w:rPr>
        <w:t>万元，占比100%；事业收入0万元；其他收入0万元。</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支出情况。</w:t>
      </w:r>
      <w:r>
        <w:rPr>
          <w:rFonts w:ascii="宋体" w:eastAsia="方正仿宋_GBK" w:cs="方正仿宋_GBK" w:hAnsi="宋体" w:hint="eastAsia"/>
          <w:sz w:val="32"/>
          <w:szCs w:val="32"/>
        </w:rPr>
        <w:t>2024年度本年支出合计</w:t>
      </w:r>
      <w:r>
        <w:rPr>
          <w:rFonts w:ascii="宋体" w:eastAsia="方正仿宋_GBK" w:cs="方正仿宋_GBK" w:hAnsi="宋体"/>
          <w:sz w:val="32"/>
          <w:szCs w:val="32"/>
        </w:rPr>
        <w:t>555.98</w:t>
      </w:r>
      <w:r>
        <w:rPr>
          <w:rFonts w:ascii="宋体" w:eastAsia="方正仿宋_GBK" w:cs="方正仿宋_GBK" w:hAnsi="宋体" w:hint="eastAsia"/>
          <w:sz w:val="32"/>
          <w:szCs w:val="32"/>
        </w:rPr>
        <w:t>万元，</w:t>
      </w:r>
      <w:r>
        <w:rPr>
          <w:rFonts w:ascii="宋体" w:eastAsia="方正仿宋_GBK" w:cs="方正仿宋_GBK" w:hAnsi="宋体" w:hint="eastAsia"/>
          <w:sz w:val="32"/>
        </w:rPr>
        <w:t>较上年减少</w:t>
      </w:r>
      <w:r>
        <w:rPr>
          <w:rFonts w:ascii="宋体" w:eastAsia="方正仿宋_GBK" w:cs="方正仿宋_GBK" w:hAnsi="宋体" w:hint="eastAsia"/>
          <w:sz w:val="32"/>
          <w:szCs w:val="32"/>
        </w:rPr>
        <w:t>160.16</w:t>
      </w:r>
      <w:r>
        <w:rPr>
          <w:rFonts w:ascii="宋体" w:eastAsia="方正仿宋_GBK" w:cs="方正仿宋_GBK" w:hAnsi="宋体" w:hint="eastAsia"/>
          <w:sz w:val="32"/>
        </w:rPr>
        <w:t>万元，</w:t>
      </w:r>
      <w:r>
        <w:rPr>
          <w:rFonts w:ascii="宋体" w:eastAsia="方正仿宋_GBK" w:cs="方正仿宋_GBK" w:hAnsi="宋体" w:hint="eastAsia"/>
          <w:sz w:val="32"/>
          <w:szCs w:val="32"/>
        </w:rPr>
        <w:t>下降22.4%，</w:t>
      </w:r>
      <w:r>
        <w:rPr>
          <w:rFonts w:ascii="宋体" w:eastAsia="方正仿宋_GBK" w:cs="方正仿宋_GBK" w:hAnsi="宋体" w:hint="eastAsia"/>
          <w:sz w:val="32"/>
        </w:rPr>
        <w:t>主要原因为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苦日子思想，落实区级增收节支措施，一般公共预算公用经费及项目支出拨款减少</w:t>
      </w:r>
      <w:r>
        <w:rPr>
          <w:rFonts w:ascii="宋体" w:eastAsia="方正仿宋_GBK" w:cs="方正仿宋_GBK" w:hAnsi="宋体" w:hint="eastAsia"/>
          <w:sz w:val="32"/>
        </w:rPr>
        <w:t>。</w:t>
      </w:r>
      <w:r>
        <w:rPr>
          <w:rFonts w:ascii="宋体" w:eastAsia="方正仿宋_GBK" w:cs="方正仿宋_GBK" w:hAnsi="宋体" w:hint="eastAsia"/>
          <w:sz w:val="32"/>
          <w:szCs w:val="32"/>
        </w:rPr>
        <w:t>其中：基本支出324.24万元，占比58.32%；项目支出231.74万元，占比41.68%。</w:t>
      </w:r>
    </w:p>
    <w:p>
      <w:pPr>
        <w:numPr>
          <w:ilvl w:val="0"/>
          <w:numId w:val="4"/>
        </w:numPr>
        <w:spacing w:line="579" w:lineRule="exact"/>
        <w:ind w:left="0" w:firstLineChars="200" w:firstLine="640"/>
        <w:rPr>
          <w:rFonts w:ascii="宋体" w:eastAsia="方正仿宋_GBK" w:cs="方正仿宋_GBK" w:hAnsi="宋体"/>
          <w:kern w:val="0"/>
          <w:sz w:val="32"/>
          <w:szCs w:val="32"/>
        </w:rPr>
      </w:pPr>
      <w:r>
        <w:rPr>
          <w:rFonts w:ascii="宋体" w:eastAsia="方正仿宋_GBK" w:cs="方正仿宋_GBK" w:hAnsi="宋体" w:hint="eastAsia"/>
          <w:b/>
          <w:bCs/>
          <w:sz w:val="32"/>
          <w:szCs w:val="32"/>
        </w:rPr>
        <w:t>结转结余情况。</w:t>
      </w:r>
      <w:r>
        <w:rPr>
          <w:rFonts w:ascii="宋体" w:eastAsia="方正仿宋_GBK" w:cs="方正仿宋_GBK" w:hAnsi="宋体" w:hint="eastAsia"/>
          <w:sz w:val="32"/>
          <w:szCs w:val="32"/>
        </w:rPr>
        <w:t>2024年度年末结转和结余0万元，与2023年度一致</w:t>
      </w:r>
      <w:r>
        <w:rPr>
          <w:rFonts w:ascii="宋体" w:eastAsia="方正仿宋_GBK" w:cs="方正仿宋_GBK" w:hAnsi="宋体" w:hint="eastAsia"/>
          <w:kern w:val="0"/>
          <w:sz w:val="32"/>
          <w:szCs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财政拨款收支总体情况</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2024年度财政拨款收入总计</w:t>
      </w:r>
      <w:r>
        <w:rPr>
          <w:rFonts w:ascii="宋体" w:eastAsia="方正仿宋_GBK" w:cs="方正仿宋_GBK" w:hAnsi="宋体"/>
          <w:sz w:val="32"/>
          <w:szCs w:val="32"/>
        </w:rPr>
        <w:t>555.98</w:t>
      </w:r>
      <w:r>
        <w:rPr>
          <w:rFonts w:ascii="宋体" w:eastAsia="方正仿宋_GBK" w:cs="方正仿宋_GBK" w:hAnsi="宋体" w:hint="eastAsia"/>
          <w:sz w:val="32"/>
        </w:rPr>
        <w:t>万元，支出总计</w:t>
      </w:r>
      <w:r>
        <w:rPr>
          <w:rFonts w:ascii="宋体" w:eastAsia="方正仿宋_GBK" w:cs="方正仿宋_GBK" w:hAnsi="宋体"/>
          <w:sz w:val="32"/>
          <w:szCs w:val="32"/>
        </w:rPr>
        <w:t>555.98</w:t>
      </w:r>
      <w:r>
        <w:rPr>
          <w:rFonts w:ascii="宋体" w:eastAsia="方正仿宋_GBK" w:cs="方正仿宋_GBK" w:hAnsi="宋体" w:hint="eastAsia"/>
          <w:sz w:val="32"/>
        </w:rPr>
        <w:t>万元。收支较上年</w:t>
      </w:r>
      <w:r>
        <w:rPr>
          <w:rFonts w:ascii="宋体" w:eastAsia="方正仿宋_GBK" w:cs="方正仿宋_GBK" w:hAnsi="宋体" w:hint="eastAsia"/>
          <w:sz w:val="32"/>
          <w:szCs w:val="32"/>
        </w:rPr>
        <w:t>减少153.49万元，下降21.63%</w:t>
      </w:r>
      <w:r>
        <w:rPr>
          <w:rFonts w:ascii="宋体" w:eastAsia="方正仿宋_GBK" w:cs="方正仿宋_GBK" w:hAnsi="宋体" w:hint="eastAsia"/>
          <w:sz w:val="32"/>
        </w:rPr>
        <w:t>，主要原因为为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w:t>
      </w:r>
      <w:r>
        <w:rPr>
          <w:rFonts w:ascii="宋体" w:eastAsia="方正仿宋_GBK" w:cs="方正仿宋_GBK" w:hAnsi="宋体" w:hint="eastAsia"/>
          <w:sz w:val="32"/>
          <w:szCs w:val="32"/>
        </w:rPr>
        <w:t>，</w:t>
      </w:r>
      <w:r>
        <w:rPr>
          <w:rFonts w:ascii="宋体" w:eastAsia="方正仿宋_GBK" w:cs="方正仿宋_GBK" w:hAnsi="宋体"/>
          <w:sz w:val="32"/>
          <w:szCs w:val="32"/>
        </w:rPr>
        <w:t>一般公共预算公用经费及项目支出拨款减少</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一般公共预算财政拨款收支总体情况</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收入情况。</w:t>
      </w:r>
      <w:r>
        <w:rPr>
          <w:rFonts w:ascii="宋体" w:eastAsia="方正仿宋_GBK" w:cs="方正仿宋_GBK" w:hAnsi="宋体" w:hint="eastAsia"/>
          <w:sz w:val="32"/>
        </w:rPr>
        <w:t>2024年度一般公共预算财政拨款收入</w:t>
      </w:r>
      <w:r>
        <w:rPr>
          <w:rFonts w:ascii="宋体" w:eastAsia="方正仿宋_GBK" w:cs="方正仿宋_GBK" w:hAnsi="宋体"/>
          <w:sz w:val="32"/>
          <w:szCs w:val="32"/>
        </w:rPr>
        <w:t>555.98</w:t>
      </w:r>
      <w:r>
        <w:rPr>
          <w:rFonts w:ascii="宋体" w:eastAsia="方正仿宋_GBK" w:cs="方正仿宋_GBK" w:hAnsi="宋体" w:hint="eastAsia"/>
          <w:sz w:val="32"/>
        </w:rPr>
        <w:t>万元，较上年决算数</w:t>
      </w:r>
      <w:r>
        <w:rPr>
          <w:rFonts w:ascii="宋体" w:eastAsia="方正仿宋_GBK" w:cs="方正仿宋_GBK" w:hAnsi="宋体" w:hint="eastAsia"/>
          <w:sz w:val="32"/>
          <w:szCs w:val="32"/>
        </w:rPr>
        <w:t>减少153.49万元，下降21.63%</w:t>
      </w:r>
      <w:r>
        <w:rPr>
          <w:rFonts w:ascii="宋体" w:eastAsia="方正仿宋_GBK" w:cs="方正仿宋_GBK" w:hAnsi="宋体" w:hint="eastAsia"/>
          <w:sz w:val="32"/>
        </w:rPr>
        <w:t>，主要原因为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w:t>
      </w:r>
      <w:r>
        <w:rPr>
          <w:rFonts w:ascii="宋体" w:eastAsia="方正仿宋_GBK" w:cs="方正仿宋_GBK" w:hAnsi="宋体" w:hint="eastAsia"/>
          <w:sz w:val="32"/>
          <w:szCs w:val="32"/>
        </w:rPr>
        <w:t>，</w:t>
      </w:r>
      <w:r>
        <w:rPr>
          <w:rFonts w:ascii="宋体" w:eastAsia="方正仿宋_GBK" w:cs="方正仿宋_GBK" w:hAnsi="宋体"/>
          <w:sz w:val="32"/>
          <w:szCs w:val="32"/>
        </w:rPr>
        <w:t>一般公共预算公用经费及项目支出拨款减少</w:t>
      </w:r>
      <w:r>
        <w:rPr>
          <w:rFonts w:ascii="宋体" w:eastAsia="方正仿宋_GBK" w:cs="方正仿宋_GBK" w:hAnsi="宋体" w:hint="eastAsia"/>
          <w:sz w:val="32"/>
        </w:rPr>
        <w:t>。较年初预算数</w:t>
      </w:r>
      <w:r>
        <w:rPr>
          <w:rFonts w:ascii="宋体" w:eastAsia="方正仿宋_GBK" w:cs="方正仿宋_GBK" w:hAnsi="宋体" w:hint="eastAsia"/>
          <w:sz w:val="32"/>
          <w:szCs w:val="32"/>
        </w:rPr>
        <w:t>减少4.98万元，下降0.9%</w:t>
      </w:r>
      <w:r>
        <w:rPr>
          <w:rFonts w:ascii="宋体" w:eastAsia="方正仿宋_GBK" w:cs="方正仿宋_GBK" w:hAnsi="宋体" w:hint="eastAsia"/>
          <w:sz w:val="32"/>
        </w:rPr>
        <w:t>，主要原因是为</w:t>
      </w:r>
      <w:r>
        <w:rPr>
          <w:rFonts w:ascii="宋体" w:eastAsia="方正仿宋_GBK" w:cs="方正仿宋_GBK" w:hAnsi="宋体"/>
          <w:sz w:val="32"/>
          <w:szCs w:val="32"/>
        </w:rPr>
        <w:t>贯彻过紧日子</w:t>
      </w:r>
      <w:r>
        <w:rPr>
          <w:rFonts w:ascii="宋体" w:eastAsia="方正仿宋_GBK" w:cs="方正仿宋_GBK" w:hAnsi="宋体" w:hint="eastAsia"/>
          <w:sz w:val="32"/>
          <w:szCs w:val="32"/>
        </w:rPr>
        <w:t>、</w:t>
      </w:r>
      <w:r>
        <w:rPr>
          <w:rFonts w:ascii="宋体" w:eastAsia="方正仿宋_GBK" w:cs="方正仿宋_GBK" w:hAnsi="宋体"/>
          <w:sz w:val="32"/>
          <w:szCs w:val="32"/>
        </w:rPr>
        <w:t>苦日子思想，落实区级增收节支措施</w:t>
      </w:r>
      <w:r>
        <w:rPr>
          <w:rFonts w:ascii="宋体" w:eastAsia="方正仿宋_GBK" w:cs="方正仿宋_GBK" w:hAnsi="宋体" w:hint="eastAsia"/>
          <w:sz w:val="32"/>
          <w:szCs w:val="32"/>
        </w:rPr>
        <w:t>，</w:t>
      </w:r>
      <w:r>
        <w:rPr>
          <w:rFonts w:ascii="宋体" w:eastAsia="方正仿宋_GBK" w:cs="方正仿宋_GBK" w:hAnsi="宋体"/>
          <w:sz w:val="32"/>
          <w:szCs w:val="32"/>
        </w:rPr>
        <w:t>项目支出拨款减少</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支出情况。</w:t>
      </w:r>
      <w:r>
        <w:rPr>
          <w:rFonts w:ascii="宋体" w:eastAsia="方正仿宋_GBK" w:cs="方正仿宋_GBK" w:hAnsi="宋体" w:hint="eastAsia"/>
          <w:sz w:val="32"/>
        </w:rPr>
        <w:t>2024年度一般公共预算财政拨款支出555.98万元，较上年决算数减少153.5万元，</w:t>
      </w:r>
      <w:r>
        <w:rPr>
          <w:rFonts w:ascii="宋体" w:eastAsia="方正仿宋_GBK" w:cs="方正仿宋_GBK" w:hAnsi="宋体" w:hint="eastAsia"/>
          <w:sz w:val="32"/>
          <w:szCs w:val="32"/>
        </w:rPr>
        <w:t>下降21.6%</w:t>
      </w:r>
      <w:r>
        <w:rPr>
          <w:rFonts w:ascii="宋体" w:eastAsia="方正仿宋_GBK" w:cs="方正仿宋_GBK" w:hAnsi="宋体" w:hint="eastAsia"/>
          <w:sz w:val="32"/>
        </w:rPr>
        <w:t>，主要原因是为</w:t>
      </w:r>
      <w:r>
        <w:rPr>
          <w:rFonts w:ascii="宋体" w:eastAsia="方正仿宋_GBK" w:cs="方正仿宋_GBK" w:hAnsi="宋体"/>
          <w:sz w:val="32"/>
        </w:rPr>
        <w:t>因贯彻过紧日子苦日子思想，落实区级增收节支措施，一般公共预算公用经费及项目支出拨款减少</w:t>
      </w:r>
      <w:r>
        <w:rPr>
          <w:rFonts w:ascii="宋体" w:eastAsia="方正仿宋_GBK" w:cs="方正仿宋_GBK" w:hAnsi="宋体" w:hint="eastAsia"/>
          <w:sz w:val="32"/>
        </w:rPr>
        <w:t>。较年初预算数减少4.98万元，</w:t>
      </w:r>
      <w:r>
        <w:rPr>
          <w:rFonts w:ascii="宋体" w:eastAsia="方正仿宋_GBK" w:cs="方正仿宋_GBK" w:hAnsi="宋体" w:hint="eastAsia"/>
          <w:sz w:val="32"/>
          <w:szCs w:val="32"/>
        </w:rPr>
        <w:t>下降0.9%</w:t>
      </w:r>
      <w:r>
        <w:rPr>
          <w:rFonts w:ascii="宋体" w:eastAsia="方正仿宋_GBK" w:cs="方正仿宋_GBK" w:hAnsi="宋体" w:hint="eastAsia"/>
          <w:sz w:val="32"/>
        </w:rPr>
        <w:t>，主要原因是</w:t>
      </w:r>
      <w:r>
        <w:rPr>
          <w:rFonts w:ascii="宋体" w:eastAsia="方正仿宋_GBK" w:cs="方正仿宋_GBK" w:hAnsi="宋体"/>
          <w:sz w:val="32"/>
        </w:rPr>
        <w:t>因贯彻过紧日子苦日子思想，落实区级增收节支措施，一般公共预算公用经费及项目支出拨款减少</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结转结余情况。</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度年末一般公共预算财政拨款结转和结余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b/>
          <w:bCs/>
          <w:kern w:val="2"/>
          <w:sz w:val="32"/>
        </w:rPr>
        <w:t>比较情况。</w:t>
      </w:r>
      <w:r>
        <w:rPr>
          <w:rFonts w:ascii="宋体" w:eastAsia="方正仿宋_GBK" w:cs="方正仿宋_GBK" w:hAnsi="宋体" w:hint="eastAsia"/>
          <w:sz w:val="32"/>
        </w:rPr>
        <w:t>本部门2024年度一般公共预算财政拨款支出主要用于以下几个方面：</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教育支出0.18万元，占比0.03%。较年初预算数减少1.48万元，下降89.2%，主要原因</w:t>
      </w:r>
      <w:r>
        <w:rPr>
          <w:rFonts w:ascii="宋体" w:eastAsia="方正仿宋_GBK" w:cs="方正仿宋_GBK" w:hAnsi="宋体"/>
          <w:sz w:val="32"/>
        </w:rPr>
        <w:t>贯</w:t>
      </w:r>
      <w:bookmarkStart w:id="0" w:name="_GoBack"/>
      <w:bookmarkEnd w:id="0"/>
      <w:r>
        <w:rPr>
          <w:rFonts w:ascii="宋体" w:eastAsia="方正仿宋_GBK" w:cs="方正仿宋_GBK" w:hAnsi="宋体" w:hint="eastAsia"/>
          <w:sz w:val="32"/>
        </w:rPr>
        <w:t>彻落实区委区政府党政机关过紧日子苦日子要求，压减培训费支出。</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社会保障和就业支出39.92万元，占比7.18%。较年初预算数增加13.3万元，增长50%，主要原因是调整养老保险及职业年金缴款基数。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（3）卫生健康支出15.86万元。占比2.85%。较年初预算数增加0.05万元，增长0.3%，主要原因是根据相关规定调整医保缴费基数。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（4）城乡社区支出486.71万元，占比87.55%。较年初预算数减少16.84万元，下降3.3%，主要原因是主要原因是</w:t>
      </w:r>
      <w:r>
        <w:rPr>
          <w:rFonts w:ascii="宋体" w:eastAsia="方正仿宋_GBK" w:cs="方正仿宋_GBK" w:hAnsi="宋体"/>
          <w:sz w:val="32"/>
        </w:rPr>
        <w:t>因贯彻过紧日子苦日子思想，落实区级增收节支措施，一般公共预算公用经费及项目支出拨款减少</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（5）住房保障支出13.31万元，占比2.39%。与年初预算数一致。</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Style w:val="22"/>
          <w:rFonts w:ascii="宋体" w:eastAsia="方正楷体_GBK" w:cs="方正楷体_GBK" w:hAnsi="宋体" w:hint="eastAsia"/>
          <w:b w:val="0"/>
          <w:bCs/>
          <w:sz w:val="32"/>
          <w:szCs w:val="32"/>
          <w:shd w:val="clear" w:color="auto" w:fill="FFFFFF"/>
        </w:rPr>
        <w:t>一般公共预算财政拨款基本支出情况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一般公共预算财政拨款基本支出324.24万元。其中：人员经费274.88万元，主要用于基本工资、津贴补贴、绩效工资、社会保障缴费、住房公积金等，较上年决算数增加12.66万元，增长4.8%，主要原因是主要是因人员晋职晋级及政策性工资调标导致基本支出人员经费增加。公用经费49.36万元，主要用于办公经费、印刷费、水费、电费、维修费、其他商品服务支出等，较上年决算数增加0.19万元，增加0.4%，主要原因是贯彻落实区委区政府党政机关过紧日子苦日子要求，压减一般性公用经费支出。</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（五）政府性基金预算收支决算情况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度无政府性基金预算财政拨款收支</w:t>
      </w:r>
      <w:r>
        <w:rPr>
          <w:rFonts w:ascii="方正仿宋_GBK" w:eastAsia="方正仿宋_GBK" w:cs="方正仿宋_GBK" w:hint="eastAsia"/>
          <w:sz w:val="32"/>
          <w:szCs w:val="32"/>
          <w:shd w:val="clear" w:color="auto" w:fill="FFFFFF"/>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（六）国有资本经营预算财政拨款支出决算情况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度无国有资本经营预算财政拨款支出。</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三、“三公”经费情况</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（一）“三公”经费支出总体情况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三公”经费支出共计2.52万元，较年初预算数减少0.98万元，下降28%，主要原因是贯彻落实区委区政府党政机关过紧日子苦日子要求，压减“三公”经费支出。较上年支出数增加1.83万元，增加265.2%，主要原因是</w:t>
      </w:r>
      <w:r>
        <w:rPr>
          <w:rFonts w:ascii="宋体" w:eastAsia="方正仿宋_GBK" w:cs="方正仿宋_GBK" w:hAnsi="宋体"/>
          <w:sz w:val="32"/>
        </w:rPr>
        <w:t>因车辆老旧，加上本年度创文迎检等工作公务用车使用频次增加，公务用车燃油费和维修费等成本增加，导致</w:t>
      </w:r>
      <w:r>
        <w:rPr>
          <w:rFonts w:ascii="宋体" w:eastAsia="方正仿宋_GBK" w:cs="方正仿宋_GBK" w:hAnsi="宋体" w:hint="eastAsia"/>
          <w:sz w:val="32"/>
        </w:rPr>
        <w:t>“三公”经费</w:t>
      </w:r>
      <w:r>
        <w:rPr>
          <w:rFonts w:ascii="宋体" w:eastAsia="方正仿宋_GBK" w:cs="方正仿宋_GBK" w:hAnsi="宋体"/>
          <w:sz w:val="32"/>
        </w:rPr>
        <w:t>较上年增加</w:t>
      </w:r>
      <w:r>
        <w:rPr>
          <w:rFonts w:ascii="宋体" w:eastAsia="方正仿宋_GBK" w:cs="方正仿宋_GBK" w:hAnsi="宋体" w:hint="eastAsia"/>
          <w:sz w:val="32"/>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（二）“三公”经费分项支出情况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无因公出国（境）费用。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无公务车购置费用。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公务车运行维护费2.52万元，主要用于公务车维修、过路费、停车费等。费用支出较年初预算数减少0.48万元，较上年支出数增加1.83万元，增加265.2%，主要原因是</w:t>
      </w:r>
      <w:r>
        <w:rPr>
          <w:rFonts w:ascii="宋体" w:eastAsia="方正仿宋_GBK" w:cs="方正仿宋_GBK" w:hAnsi="宋体"/>
          <w:sz w:val="32"/>
        </w:rPr>
        <w:t>因车辆老旧，加上本年度创文迎检等工作公务用车使用频次增加，公务用车燃油费和维修费等成本增加，导致公务用车运行维护费较上年增加</w:t>
      </w:r>
      <w:r>
        <w:rPr>
          <w:rFonts w:ascii="宋体" w:eastAsia="方正仿宋_GBK" w:cs="方正仿宋_GBK" w:hAnsi="宋体" w:hint="eastAsia"/>
          <w:sz w:val="32"/>
        </w:rPr>
        <w:t>。</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公务接待费0万元，</w:t>
      </w:r>
      <w:r>
        <w:rPr>
          <w:rFonts w:ascii="方正仿宋_GBK" w:eastAsia="方正仿宋_GBK" w:cs="方正仿宋_GBK"/>
          <w:sz w:val="32"/>
          <w:szCs w:val="32"/>
          <w:shd w:val="clear" w:color="auto" w:fill="FFFFFF"/>
        </w:rPr>
        <w:t>费用支出较年初预算数减少0.50万元，下降100.0%</w:t>
      </w:r>
      <w:r>
        <w:rPr>
          <w:rFonts w:ascii="方正仿宋_GBK" w:eastAsia="方正仿宋_GBK" w:cs="方正仿宋_GBK" w:hint="eastAsia"/>
          <w:sz w:val="32"/>
          <w:szCs w:val="32"/>
          <w:shd w:val="clear" w:color="auto" w:fill="FFFFFF"/>
        </w:rPr>
        <w:t>，主要原因是</w:t>
      </w:r>
      <w:r>
        <w:rPr>
          <w:rFonts w:ascii="宋体" w:eastAsia="方正仿宋_GBK" w:cs="方正仿宋_GBK" w:hAnsi="宋体" w:hint="eastAsia"/>
          <w:sz w:val="32"/>
        </w:rPr>
        <w:t>贯彻落实区委区政府党政机关过紧日子苦日子要求，减少</w:t>
      </w:r>
      <w:r>
        <w:rPr>
          <w:rFonts w:ascii="方正仿宋_GBK" w:eastAsia="方正仿宋_GBK" w:cs="方正仿宋_GBK" w:hint="eastAsia"/>
          <w:sz w:val="32"/>
          <w:szCs w:val="32"/>
          <w:shd w:val="clear" w:color="auto" w:fill="FFFFFF"/>
        </w:rPr>
        <w:t>公务接待。</w:t>
      </w:r>
      <w:r>
        <w:rPr>
          <w:rFonts w:ascii="方正仿宋_GBK" w:eastAsia="方正仿宋_GBK" w:cs="方正仿宋_GBK"/>
          <w:sz w:val="32"/>
          <w:szCs w:val="32"/>
          <w:shd w:val="clear" w:color="auto" w:fill="FFFFFF"/>
        </w:rPr>
        <w:t>较上年支出数无增减</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（三）“三公”经费实物量情况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本部门因公出国（境）共计0个团组，0人；公务用车购置0辆，公务车保有量为1辆；国内公务接待0批次，其中：国内外事接待0批次0人；国（境）外公务接待0批次，0人。人均接待费0元，车均购置费0万元，车均维护费2.52万元。</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四、其他需要说明的事项</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（一）财政拨款会议费和培训费情况</w:t>
      </w:r>
    </w:p>
    <w:p>
      <w:pPr>
        <w:pStyle w:val="18"/>
        <w:snapToGrid w:val="0"/>
        <w:spacing w:before="0" w:beforeAutospacing="0" w:after="0" w:afterAutospacing="0" w:line="579"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rPr>
        <w:t>2024</w:t>
      </w:r>
      <w:r>
        <w:rPr>
          <w:rFonts w:ascii="方正仿宋_GBK" w:eastAsia="方正仿宋_GBK" w:cs="方正仿宋_GBK"/>
          <w:sz w:val="32"/>
          <w:szCs w:val="32"/>
          <w:shd w:val="clear" w:color="auto" w:fill="FFFFFF"/>
        </w:rPr>
        <w:t>年度会议费支出</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万元，与2023年度</w:t>
      </w:r>
      <w:r>
        <w:rPr>
          <w:rFonts w:ascii="方正仿宋_GBK" w:eastAsia="方正仿宋_GBK" w:cs="方正仿宋_GBK" w:hint="eastAsia"/>
          <w:sz w:val="32"/>
          <w:szCs w:val="32"/>
          <w:shd w:val="clear" w:color="auto" w:fill="FFFFFF"/>
        </w:rPr>
        <w:t>一致</w:t>
      </w:r>
      <w:r>
        <w:rPr>
          <w:rFonts w:ascii="方正仿宋_GBK" w:eastAsia="方正仿宋_GBK" w:cs="方正仿宋_GBK"/>
          <w:sz w:val="32"/>
          <w:szCs w:val="32"/>
          <w:shd w:val="clear" w:color="auto" w:fill="FFFFFF"/>
        </w:rPr>
        <w:t>。本年度培训费支出</w:t>
      </w:r>
      <w:r>
        <w:rPr>
          <w:rFonts w:ascii="方正仿宋_GBK" w:eastAsia="方正仿宋_GBK" w:cs="方正仿宋_GBK" w:hint="eastAsia"/>
          <w:sz w:val="32"/>
          <w:szCs w:val="32"/>
        </w:rPr>
        <w:t>0.18</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减少1.46</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下降89</w:t>
      </w:r>
      <w:r>
        <w:rPr>
          <w:rFonts w:ascii="方正仿宋_GBK" w:eastAsia="方正仿宋_GBK" w:cs="方正仿宋_GBK"/>
          <w:sz w:val="32"/>
          <w:szCs w:val="32"/>
          <w:shd w:val="clear" w:color="auto" w:fill="FFFFFF"/>
        </w:rPr>
        <w:t>%，主要原因是</w:t>
      </w:r>
      <w:r>
        <w:rPr>
          <w:rFonts w:ascii="宋体" w:eastAsia="方正仿宋_GBK" w:cs="方正仿宋_GBK" w:hAnsi="宋体" w:hint="eastAsia"/>
          <w:sz w:val="32"/>
        </w:rPr>
        <w:t>彻落实区委区政府党政机关过紧日子苦日子要求，压减培训费支出</w:t>
      </w:r>
      <w:r>
        <w:rPr>
          <w:rFonts w:ascii="方正仿宋_GBK" w:eastAsia="方正仿宋_GBK" w:cs="方正仿宋_GBK"/>
          <w:sz w:val="32"/>
          <w:szCs w:val="32"/>
          <w:shd w:val="clear" w:color="auto" w:fill="FFFFFF"/>
        </w:rPr>
        <w:t>。</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（二）机关运行经费情况</w:t>
      </w:r>
    </w:p>
    <w:p>
      <w:pPr>
        <w:spacing w:line="579" w:lineRule="exact"/>
        <w:ind w:firstLineChars="150" w:firstLine="480"/>
        <w:rPr>
          <w:rFonts w:ascii="宋体" w:eastAsia="方正仿宋_GBK" w:cs="方正仿宋_GBK" w:hAnsi="宋体"/>
          <w:kern w:val="0"/>
          <w:sz w:val="32"/>
          <w:szCs w:val="32"/>
        </w:rPr>
      </w:pPr>
      <w:r>
        <w:rPr>
          <w:rFonts w:ascii="宋体" w:eastAsia="方正仿宋_GBK" w:cs="方正仿宋_GBK" w:hAnsi="宋体" w:hint="eastAsia"/>
          <w:color w:val="auto"/>
          <w:kern w:val="0"/>
          <w:sz w:val="32"/>
          <w:szCs w:val="32"/>
        </w:rPr>
        <w:t>按照部门决算列报口径，我单位不在机关运行经费统计范围之内。</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（三）国有资产占用情况说明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截至2024年12月31日，本部门共有车辆1辆。其中：副部（省）级及以上领导用车0辆，主要负责人用车0辆，机要通信用车0辆，应急保障用车1辆，执法执勤用车0辆，特种专业技术用车0辆，离退休干部服务用车0辆，其他用车0辆。</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（四）政府采购支出说明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szCs w:val="32"/>
        </w:rPr>
        <w:t>2024年度本部门政府采购支出总额1.13万元，其中：政府采购货物支出1.13万元、政府采购工程支出0万元、政府采购服务支出0万元。授予中小企业合同金额1.13万元，占政府采购支出总额的100%，其中：授予小微企业合同金额1.13万元，占政府采购支出总额的100%。</w:t>
      </w:r>
      <w:r>
        <w:rPr>
          <w:rFonts w:ascii="宋体" w:eastAsia="方正仿宋_GBK" w:cs="方正仿宋_GBK" w:hAnsi="宋体" w:hint="eastAsia"/>
          <w:sz w:val="32"/>
        </w:rPr>
        <w:t>主要用于采购投影仪、打印机等。</w:t>
      </w:r>
    </w:p>
    <w:p>
      <w:pPr>
        <w:pStyle w:val="18"/>
        <w:widowControl/>
        <w:spacing w:before="0" w:beforeAutospacing="0" w:after="0" w:afterAutospacing="0" w:line="579" w:lineRule="exact"/>
        <w:ind w:firstLineChars="200" w:firstLine="640"/>
        <w:outlineLvl w:val="0"/>
        <w:rPr>
          <w:rFonts w:ascii="宋体" w:eastAsia="方正黑体_GBK" w:cs="方正黑体_GBK" w:hAnsi="宋体"/>
          <w:bCs/>
          <w:sz w:val="32"/>
          <w:szCs w:val="32"/>
        </w:rPr>
      </w:pPr>
      <w:r>
        <w:rPr>
          <w:rStyle w:val="19"/>
          <w:rFonts w:ascii="宋体" w:eastAsia="方正黑体_GBK" w:cs="方正黑体_GBK" w:hAnsi="宋体" w:hint="eastAsia"/>
          <w:b w:val="0"/>
          <w:bCs/>
          <w:sz w:val="32"/>
          <w:szCs w:val="32"/>
          <w:shd w:val="clear" w:color="auto" w:fill="FFFFFF"/>
        </w:rPr>
        <w:t>五、预算绩效管理情况</w:t>
      </w:r>
    </w:p>
    <w:p>
      <w:pPr>
        <w:pStyle w:val="18"/>
        <w:widowControl/>
        <w:adjustRightInd w:val="0"/>
        <w:spacing w:before="0" w:beforeAutospacing="0" w:after="0" w:afterAutospacing="0" w:line="579" w:lineRule="exact"/>
        <w:ind w:firstLineChars="200" w:firstLine="640"/>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（一）预算绩效管理工作开展情况</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根据预算绩效管理要求，我所对3个项目开展了绩效自评，其中，以填报目标自评表形式开展自评3项，涉及资金231.75万元。</w:t>
      </w:r>
    </w:p>
    <w:p>
      <w:pPr>
        <w:pStyle w:val="18"/>
        <w:widowControl/>
        <w:adjustRightInd w:val="0"/>
        <w:spacing w:before="0" w:beforeAutospacing="0" w:after="0" w:afterAutospacing="0" w:line="579" w:lineRule="exact"/>
        <w:ind w:firstLineChars="200" w:firstLine="640"/>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（二）绩效自评结果</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b/>
          <w:bCs/>
          <w:sz w:val="32"/>
        </w:rPr>
      </w:pPr>
      <w:r>
        <w:rPr>
          <w:rFonts w:ascii="宋体" w:eastAsia="方正仿宋_GBK" w:cs="方正仿宋_GBK" w:hAnsi="宋体" w:hint="eastAsia"/>
          <w:b/>
          <w:bCs/>
          <w:sz w:val="32"/>
        </w:rPr>
        <w:t>1. 绩效目标自评表</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color w:val="000000"/>
          <w:kern w:val="0"/>
          <w:sz w:val="32"/>
          <w:szCs w:val="32"/>
        </w:rPr>
        <w:t>（1）公开范围。</w:t>
      </w:r>
      <w:r>
        <w:rPr>
          <w:rFonts w:ascii="宋体" w:eastAsia="方正仿宋_GBK" w:cs="方正仿宋_GBK" w:hAnsi="宋体" w:hint="eastAsia"/>
          <w:kern w:val="0"/>
          <w:sz w:val="32"/>
          <w:szCs w:val="32"/>
        </w:rPr>
        <w:t>我单位无重点专项项目，选择一个一般性项目绩效自评表进行公开。</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（2）公开内容。详见表格。</w:t>
      </w:r>
    </w:p>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r>
        <w:rPr>
          <w:rFonts w:ascii="方正黑体_GBK" w:eastAsia="方正黑体_GBK" w:cs="方正黑体_GBK" w:hint="eastAsia"/>
          <w:color w:val="000000"/>
          <w:kern w:val="0"/>
          <w:sz w:val="36"/>
          <w:szCs w:val="36"/>
        </w:rPr>
        <w:t>2024年度项目绩效自评表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6"/>
        <w:gridCol w:w="817"/>
        <w:gridCol w:w="708"/>
        <w:gridCol w:w="709"/>
        <w:gridCol w:w="318"/>
        <w:gridCol w:w="526"/>
        <w:gridCol w:w="749"/>
        <w:gridCol w:w="223"/>
        <w:gridCol w:w="32"/>
        <w:gridCol w:w="916"/>
        <w:gridCol w:w="1080"/>
        <w:gridCol w:w="1092"/>
        <w:gridCol w:w="938"/>
        <w:gridCol w:w="346"/>
        <w:gridCol w:w="892"/>
      </w:tblGrid>
      <w:tr>
        <w:trPr>
          <w:trHeight w:val="737"/>
        </w:trPr>
        <w:tc>
          <w:tcPr>
            <w:tcW w:w="786"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3827" w:type="dxa"/>
            <w:gridSpan w:val="6"/>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13594351329</w:t>
            </w:r>
          </w:p>
        </w:tc>
        <w:tc>
          <w:tcPr>
            <w:tcW w:w="1171" w:type="dxa"/>
            <w:gridSpan w:val="3"/>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自评总分（分）</w:t>
            </w:r>
          </w:p>
        </w:tc>
        <w:tc>
          <w:tcPr>
            <w:tcW w:w="4348" w:type="dxa"/>
            <w:gridSpan w:val="5"/>
            <w:tcBorders>
              <w:tl2br w:val="nil"/>
              <w:tr2bl w:val="nil"/>
            </w:tcBorders>
            <w:noWrap/>
            <w:vAlign w:val="center"/>
          </w:tcPr>
          <w:p>
            <w:pPr>
              <w:widowControl/>
              <w:spacing w:line="4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100.00</w:t>
            </w:r>
          </w:p>
        </w:tc>
      </w:tr>
      <w:tr>
        <w:trPr>
          <w:trHeight w:val="968"/>
        </w:trPr>
        <w:tc>
          <w:tcPr>
            <w:tcW w:w="786"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项目主管</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部门</w:t>
            </w:r>
          </w:p>
        </w:tc>
        <w:tc>
          <w:tcPr>
            <w:tcW w:w="1525"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重庆市江津区城市管理局</w:t>
            </w:r>
          </w:p>
        </w:tc>
        <w:tc>
          <w:tcPr>
            <w:tcW w:w="1027"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财政归口科室</w:t>
            </w:r>
          </w:p>
        </w:tc>
        <w:tc>
          <w:tcPr>
            <w:tcW w:w="1275"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经济建设科</w:t>
            </w:r>
          </w:p>
        </w:tc>
        <w:tc>
          <w:tcPr>
            <w:tcW w:w="1171" w:type="dxa"/>
            <w:gridSpan w:val="3"/>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钟雪飞</w:t>
            </w:r>
          </w:p>
        </w:tc>
        <w:tc>
          <w:tcPr>
            <w:tcW w:w="1092"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widowControl/>
              <w:spacing w:line="3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13983922111</w:t>
            </w:r>
          </w:p>
        </w:tc>
      </w:tr>
      <w:tr>
        <w:trPr>
          <w:trHeight w:val="1029"/>
        </w:trPr>
        <w:tc>
          <w:tcPr>
            <w:tcW w:w="786" w:type="dxa"/>
            <w:vMerge w:val="restart"/>
            <w:tcBorders>
              <w:tl2br w:val="nil"/>
              <w:tr2bl w:val="nil"/>
            </w:tcBorders>
            <w:noWrap/>
            <w:textDirection w:val="tbRlV"/>
            <w:vAlign w:val="center"/>
          </w:tcPr>
          <w:p>
            <w:pPr>
              <w:widowControl/>
              <w:spacing w:line="579" w:lineRule="exact"/>
              <w:ind w:left="113" w:right="113"/>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项目资金（万元）</w:t>
            </w:r>
          </w:p>
        </w:tc>
        <w:tc>
          <w:tcPr>
            <w:tcW w:w="1525" w:type="dxa"/>
            <w:gridSpan w:val="2"/>
            <w:vMerge w:val="restart"/>
            <w:tcBorders>
              <w:tl2br w:val="nil"/>
              <w:tr2bl w:val="nil"/>
            </w:tcBorders>
            <w:noWrap/>
            <w:vAlign w:val="center"/>
          </w:tcPr>
          <w:p>
            <w:pPr>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年度总金额</w:t>
            </w:r>
          </w:p>
        </w:tc>
        <w:tc>
          <w:tcPr>
            <w:tcW w:w="1027"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预算数</w:t>
            </w:r>
          </w:p>
        </w:tc>
        <w:tc>
          <w:tcPr>
            <w:tcW w:w="1275"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全年（调整）预算数</w:t>
            </w:r>
          </w:p>
        </w:tc>
        <w:tc>
          <w:tcPr>
            <w:tcW w:w="2251" w:type="dxa"/>
            <w:gridSpan w:val="4"/>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786" w:type="dxa"/>
            <w:vMerge/>
            <w:tcBorders>
              <w:tl2br w:val="nil"/>
              <w:tr2bl w:val="nil"/>
            </w:tcBorders>
            <w:noWrap/>
            <w:vAlign w:val="center"/>
          </w:tcPr>
          <w:p/>
        </w:tc>
        <w:tc>
          <w:tcPr>
            <w:tcW w:w="1525" w:type="dxa"/>
            <w:gridSpan w:val="2"/>
            <w:vMerge/>
            <w:tcBorders>
              <w:tl2br w:val="nil"/>
              <w:tr2bl w:val="nil"/>
            </w:tcBorders>
            <w:noWrap/>
            <w:vAlign w:val="center"/>
          </w:tcPr>
          <w:p/>
        </w:tc>
        <w:tc>
          <w:tcPr>
            <w:tcW w:w="1027"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651400 </w:t>
            </w:r>
          </w:p>
        </w:tc>
        <w:tc>
          <w:tcPr>
            <w:tcW w:w="1275"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550511.66 </w:t>
            </w:r>
          </w:p>
        </w:tc>
        <w:tc>
          <w:tcPr>
            <w:tcW w:w="2251" w:type="dxa"/>
            <w:gridSpan w:val="4"/>
            <w:tcBorders>
              <w:tl2br w:val="nil"/>
              <w:tr2bl w:val="nil"/>
            </w:tcBorders>
            <w:noWrap/>
            <w:vAlign w:val="center"/>
          </w:tcPr>
          <w:p>
            <w:pPr>
              <w:jc w:val="right"/>
              <w:rPr>
                <w:rFonts w:ascii="宋体" w:cs="宋体"/>
                <w:color w:val="000000"/>
                <w:sz w:val="22"/>
              </w:rPr>
            </w:pPr>
            <w:r>
              <w:rPr>
                <w:rFonts w:hint="eastAsia"/>
                <w:color w:val="000000"/>
                <w:sz w:val="22"/>
              </w:rPr>
              <w:t xml:space="preserve">550511.66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kern w:val="0"/>
                <w:sz w:val="24"/>
                <w:szCs w:val="24"/>
              </w:rPr>
            </w:pPr>
            <w:r>
              <w:rPr>
                <w:rFonts w:ascii="宋体" w:eastAsia="方正仿宋_GBK" w:cs="方正仿宋_GBK" w:hAnsi="宋体" w:hint="eastAsia"/>
                <w:kern w:val="0"/>
                <w:sz w:val="24"/>
                <w:szCs w:val="24"/>
              </w:rPr>
              <w:t>10</w:t>
            </w: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799"/>
        </w:trPr>
        <w:tc>
          <w:tcPr>
            <w:tcW w:w="786" w:type="dxa"/>
            <w:vMerge/>
            <w:tcBorders>
              <w:tl2br w:val="nil"/>
              <w:tr2bl w:val="nil"/>
            </w:tcBorders>
            <w:noWrap/>
            <w:vAlign w:val="center"/>
          </w:tcPr>
          <w:p/>
        </w:tc>
        <w:tc>
          <w:tcPr>
            <w:tcW w:w="1525" w:type="dxa"/>
            <w:gridSpan w:val="2"/>
            <w:tcBorders>
              <w:tl2br w:val="nil"/>
              <w:tr2bl w:val="nil"/>
            </w:tcBorders>
            <w:noWrap/>
            <w:vAlign w:val="center"/>
          </w:tcPr>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其中：</w:t>
            </w:r>
          </w:p>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财政拨款</w:t>
            </w:r>
          </w:p>
        </w:tc>
        <w:tc>
          <w:tcPr>
            <w:tcW w:w="1027"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651400 </w:t>
            </w:r>
          </w:p>
        </w:tc>
        <w:tc>
          <w:tcPr>
            <w:tcW w:w="1275"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550511.66 </w:t>
            </w:r>
          </w:p>
        </w:tc>
        <w:tc>
          <w:tcPr>
            <w:tcW w:w="2251" w:type="dxa"/>
            <w:gridSpan w:val="4"/>
            <w:tcBorders>
              <w:tl2br w:val="nil"/>
              <w:tr2bl w:val="nil"/>
            </w:tcBorders>
            <w:noWrap/>
            <w:vAlign w:val="center"/>
          </w:tcPr>
          <w:p>
            <w:pPr>
              <w:jc w:val="right"/>
              <w:rPr>
                <w:rFonts w:ascii="宋体" w:cs="宋体"/>
                <w:color w:val="000000"/>
                <w:sz w:val="22"/>
              </w:rPr>
            </w:pPr>
            <w:r>
              <w:rPr>
                <w:rFonts w:hint="eastAsia"/>
                <w:color w:val="000000"/>
                <w:sz w:val="22"/>
              </w:rPr>
              <w:t xml:space="preserve">550511.66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r>
      <w:tr>
        <w:trPr>
          <w:trHeight w:val="469"/>
        </w:trPr>
        <w:tc>
          <w:tcPr>
            <w:tcW w:w="786" w:type="dxa"/>
            <w:vMerge w:val="restart"/>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当年绩效目标</w:t>
            </w:r>
          </w:p>
        </w:tc>
        <w:tc>
          <w:tcPr>
            <w:tcW w:w="3078"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558"/>
        </w:trPr>
        <w:tc>
          <w:tcPr>
            <w:tcW w:w="786" w:type="dxa"/>
            <w:vMerge/>
            <w:tcBorders>
              <w:tl2br w:val="nil"/>
              <w:tr2bl w:val="nil"/>
            </w:tcBorders>
            <w:noWrap/>
            <w:vAlign w:val="center"/>
          </w:tcPr>
          <w:p/>
        </w:tc>
        <w:tc>
          <w:tcPr>
            <w:tcW w:w="3078" w:type="dxa"/>
            <w:gridSpan w:val="5"/>
            <w:tcBorders>
              <w:tl2br w:val="nil"/>
              <w:tr2bl w:val="nil"/>
            </w:tcBorders>
            <w:noWrap/>
            <w:vAlign w:val="center"/>
          </w:tcPr>
          <w:p>
            <w:pPr>
              <w:widowControl/>
              <w:spacing w:line="32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根据智能职责对数字化城市管理信息系统进行维护、日常管理，采集并派遣各类城市管理问题；承办“12319”、“47558110”两条服务热线具体工作，对数字化城市管理各责任部门处置城市管理问题进行监督、评价，为考核提供依据。根据渝城管局（2021）6号文件要求，各区要建设综合管理服务平台，并接入市级平台。</w:t>
            </w:r>
          </w:p>
        </w:tc>
        <w:tc>
          <w:tcPr>
            <w:tcW w:w="3000" w:type="dxa"/>
            <w:gridSpan w:val="5"/>
            <w:tcBorders>
              <w:tl2br w:val="nil"/>
              <w:tr2bl w:val="nil"/>
            </w:tcBorders>
            <w:noWrap/>
            <w:vAlign w:val="center"/>
          </w:tcPr>
          <w:p>
            <w:pPr>
              <w:widowControl/>
              <w:spacing w:line="32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根据职能职责对城市运行管理服务平台进行日常管理和维护，开展城市管理数字化、智慧化建设；采集并派遣各类城市管理问题；承办“12319”、“47558110”两条服务热线具体工作，对数字化城市管理各责任部门处置城市管理问题进行监督、评价，为考核提供依据。</w:t>
            </w:r>
          </w:p>
        </w:tc>
        <w:tc>
          <w:tcPr>
            <w:tcW w:w="3268" w:type="dxa"/>
            <w:gridSpan w:val="4"/>
            <w:tcBorders>
              <w:tl2br w:val="nil"/>
              <w:tr2bl w:val="nil"/>
            </w:tcBorders>
            <w:noWrap/>
            <w:vAlign w:val="center"/>
          </w:tcPr>
          <w:p>
            <w:pPr>
              <w:widowControl/>
              <w:spacing w:line="32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根据职能职责对数字化城市管理信息系统进行维护、日常管理，采集并派遣各类城市管理问题；承办“12319”、“47558110”两条服务热线具体工作，对数字化城市管理各责任部门处置城市管理问题进行监督、评价，为考核提供依据。根据渝城管局（2021）6号文件要求，各区要建设综合管理服务平台，并接入市级平台。</w:t>
            </w:r>
          </w:p>
        </w:tc>
      </w:tr>
      <w:tr>
        <w:trPr>
          <w:trHeight w:val="1183"/>
        </w:trPr>
        <w:tc>
          <w:tcPr>
            <w:tcW w:w="786" w:type="dxa"/>
            <w:vMerge w:val="restart"/>
            <w:tcBorders>
              <w:tl2br w:val="nil"/>
              <w:tr2bl w:val="nil"/>
            </w:tcBorders>
            <w:noWrap/>
            <w:textDirection w:val="tbRlV"/>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绩效指标</w:t>
            </w:r>
          </w:p>
        </w:tc>
        <w:tc>
          <w:tcPr>
            <w:tcW w:w="817"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计量</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偏离度（%）</w:t>
            </w:r>
          </w:p>
        </w:tc>
        <w:tc>
          <w:tcPr>
            <w:tcW w:w="1080"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系数</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1092"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1284"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指标得分</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说明</w:t>
            </w: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保障城管通使用</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台</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26</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26</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20</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20</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更换城管通数量</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台</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27</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27</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15</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15</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租用光纤</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条</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57</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57</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15</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15</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年稳定运行天数</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天</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365</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365</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公共设施完好率</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90</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95</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5.56</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20</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20</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r>
        <w:trPr>
          <w:trHeight w:val="408"/>
        </w:trPr>
        <w:tc>
          <w:tcPr>
            <w:tcW w:w="786" w:type="dxa"/>
            <w:vMerge/>
            <w:tcBorders>
              <w:tl2br w:val="nil"/>
              <w:tr2bl w:val="nil"/>
            </w:tcBorders>
            <w:noWrap/>
            <w:vAlign w:val="center"/>
          </w:tcPr>
          <w:p/>
        </w:tc>
        <w:tc>
          <w:tcPr>
            <w:tcW w:w="817" w:type="dxa"/>
            <w:tcBorders>
              <w:tl2br w:val="nil"/>
              <w:tr2bl w:val="nil"/>
            </w:tcBorders>
            <w:noWrap/>
            <w:vAlign w:val="center"/>
          </w:tcPr>
          <w:p>
            <w:pPr>
              <w:rPr>
                <w:rFonts w:ascii="宋体" w:cs="宋体"/>
                <w:color w:val="000000"/>
                <w:sz w:val="22"/>
              </w:rPr>
            </w:pPr>
            <w:r>
              <w:rPr>
                <w:rFonts w:hint="eastAsia"/>
                <w:color w:val="000000"/>
                <w:sz w:val="22"/>
              </w:rPr>
              <w:t>用户满意度</w:t>
            </w:r>
          </w:p>
        </w:tc>
        <w:tc>
          <w:tcPr>
            <w:tcW w:w="708"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709"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w:t>
            </w:r>
          </w:p>
        </w:tc>
        <w:tc>
          <w:tcPr>
            <w:tcW w:w="84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95</w:t>
            </w:r>
          </w:p>
        </w:tc>
        <w:tc>
          <w:tcPr>
            <w:tcW w:w="1004" w:type="dxa"/>
            <w:gridSpan w:val="3"/>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95</w:t>
            </w:r>
          </w:p>
        </w:tc>
        <w:tc>
          <w:tcPr>
            <w:tcW w:w="916"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0</w:t>
            </w:r>
          </w:p>
        </w:tc>
        <w:tc>
          <w:tcPr>
            <w:tcW w:w="1080"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100</w:t>
            </w:r>
          </w:p>
        </w:tc>
        <w:tc>
          <w:tcPr>
            <w:tcW w:w="1092" w:type="dxa"/>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w:t>
            </w:r>
          </w:p>
        </w:tc>
        <w:tc>
          <w:tcPr>
            <w:tcW w:w="1284" w:type="dxa"/>
            <w:gridSpan w:val="2"/>
            <w:tcBorders>
              <w:tl2br w:val="nil"/>
              <w:tr2bl w:val="nil"/>
            </w:tcBorders>
            <w:noWrap/>
            <w:vAlign w:val="center"/>
          </w:tcPr>
          <w:p>
            <w:pPr>
              <w:ind w:firstLineChars="100" w:firstLine="220"/>
              <w:jc w:val="center"/>
              <w:rPr>
                <w:rFonts w:ascii="宋体" w:cs="宋体"/>
                <w:color w:val="000000"/>
                <w:sz w:val="22"/>
              </w:rPr>
            </w:pPr>
            <w:r>
              <w:rPr>
                <w:rFonts w:hint="eastAsia"/>
                <w:color w:val="000000"/>
                <w:sz w:val="22"/>
              </w:rPr>
              <w:t>10</w:t>
            </w:r>
          </w:p>
        </w:tc>
        <w:tc>
          <w:tcPr>
            <w:tcW w:w="892" w:type="dxa"/>
            <w:tcBorders>
              <w:tl2br w:val="nil"/>
              <w:tr2bl w:val="nil"/>
            </w:tcBorders>
            <w:noWrap/>
            <w:vAlign w:val="center"/>
          </w:tcPr>
          <w:p>
            <w:pPr>
              <w:spacing w:line="240" w:lineRule="exact"/>
              <w:ind w:firstLineChars="100" w:firstLine="160"/>
              <w:jc w:val="center"/>
              <w:rPr>
                <w:rFonts w:ascii="宋体" w:cs="宋体"/>
                <w:color w:val="000000"/>
                <w:sz w:val="16"/>
                <w:szCs w:val="16"/>
              </w:rPr>
            </w:pPr>
          </w:p>
        </w:tc>
      </w:tr>
    </w:tbl>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kern w:val="0"/>
          <w:sz w:val="32"/>
          <w:szCs w:val="32"/>
        </w:rPr>
      </w:pPr>
      <w:r>
        <w:rPr>
          <w:rFonts w:ascii="宋体" w:eastAsia="方正仿宋_GBK" w:cs="方正仿宋_GBK" w:hAnsi="宋体" w:hint="eastAsia"/>
          <w:b/>
          <w:kern w:val="0"/>
          <w:sz w:val="32"/>
          <w:szCs w:val="32"/>
        </w:rPr>
        <w:t>绩效自评报告或案例</w:t>
      </w:r>
    </w:p>
    <w:p>
      <w:pPr>
        <w:pStyle w:val="20"/>
        <w:tabs>
          <w:tab w:val="center" w:pos="4153"/>
          <w:tab w:val="left" w:pos="7275"/>
        </w:tabs>
        <w:spacing w:line="579" w:lineRule="exact"/>
        <w:rPr>
          <w:rFonts w:ascii="宋体" w:eastAsia="方正仿宋_GBK" w:cs="方正仿宋_GBK" w:hAnsi="宋体"/>
          <w:color w:val="auto"/>
          <w:kern w:val="0"/>
          <w:sz w:val="32"/>
          <w:szCs w:val="32"/>
        </w:rPr>
      </w:pPr>
      <w:r>
        <w:rPr>
          <w:rFonts w:ascii="宋体" w:eastAsia="方正仿宋_GBK" w:cs="方正仿宋_GBK" w:hAnsi="宋体" w:hint="eastAsia"/>
          <w:color w:val="auto"/>
          <w:kern w:val="0"/>
          <w:sz w:val="32"/>
          <w:szCs w:val="32"/>
        </w:rPr>
        <w:t>本单位无此事项。</w:t>
      </w:r>
    </w:p>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已完成年度绩效自评目标。</w:t>
      </w:r>
    </w:p>
    <w:p>
      <w:pPr>
        <w:pStyle w:val="20"/>
        <w:tabs>
          <w:tab w:val="center" w:pos="4153"/>
          <w:tab w:val="left" w:pos="7275"/>
        </w:tabs>
        <w:spacing w:line="579" w:lineRule="exact"/>
        <w:outlineLvl w:val="1"/>
        <w:rPr>
          <w:rFonts w:ascii="宋体" w:eastAsia="方正楷体_GBK" w:cs="方正楷体_GBK" w:hAnsi="宋体"/>
          <w:color w:val="333333"/>
          <w:sz w:val="32"/>
          <w:szCs w:val="32"/>
        </w:rPr>
      </w:pPr>
      <w:r>
        <w:rPr>
          <w:rFonts w:ascii="宋体" w:eastAsia="方正楷体_GBK" w:cs="方正楷体_GBK" w:hAnsi="宋体" w:hint="eastAsia"/>
          <w:color w:val="333333"/>
          <w:sz w:val="32"/>
          <w:szCs w:val="32"/>
        </w:rPr>
        <w:t>（三）重点绩效评价结果</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8"/>
        </w:numPr>
        <w:tabs>
          <w:tab w:val="center" w:pos="4153"/>
          <w:tab w:val="left" w:pos="7275"/>
        </w:tabs>
        <w:spacing w:line="579" w:lineRule="exact"/>
        <w:ind w:left="0" w:firstLineChars="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专业名词解释</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部门应根据实际情况对专业名词进行解释，不得遗漏。</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（二）使用非财政拨款结余：指单位在当年的“财政拨款收入”、“事业收入”、“经营收入”、“其他收入”等不足以安排当年支出的情况下，使用以前年度积累的非财政拨款结余弥补本年度收支缺口的资金。</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（三）年初结转和结余：指单位上年结转本年使用的基本支出结转、项目支出结转和结余、经营结余。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（四）年末结转和结余：指单位结转下年的基本支出结转、项目支出结转和结余、经营结余。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（六）项目支出：指在基本支出之外为完成特定行政任务和事业发展目标所发生的支出。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（八）工资福利支出（支出经济分类科目类级）：反映单位开支的在职职工和编制外长期聘用人员的各类劳动报酬，以及为上述人员缴纳的各项社会保险费等。</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（九）商品和服务支出（支出经济分类科目类级）：反映单位购买商品和服务的支出（不包括用于购置固定资产的支出、战略性和应急储备支出）。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（十）对个人和家庭的补助（支出经济分类科目类级）：反映用于对个人和家庭的补助支出。</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七、决算公开联系方式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本单位决算公开信息反馈和联系方式：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联系人：黄典 联系电话：023-47529909</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7</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3">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4">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5">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6">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7">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4"/>
  <w:bordersDoNotSurroundHeader/>
  <w:bordersDoNotSurroundFooter/>
  <w:defaultTabStop w:val="420"/>
  <w:evenAndOddHeaders/>
  <w:drawingGridHorizontalSpacing w:val="21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kern w:val="0"/>
      <w:sz w:val="18"/>
      <w:szCs w:val="18"/>
    </w:rPr>
  </w:style>
  <w:style w:type="paragraph" w:styleId="17">
    <w:name w:val="header"/>
    <w:basedOn w:val="0"/>
    <w:pPr>
      <w:pBdr>
        <w:bottom w:val="single" w:sz="6" w:space="1" w:color="auto"/>
      </w:pBdr>
      <w:tabs>
        <w:tab w:val="center" w:pos="4153"/>
        <w:tab w:val="right" w:pos="8306"/>
      </w:tabs>
      <w:snapToGrid w:val="0"/>
      <w:jc w:val="center"/>
    </w:pPr>
    <w:rPr>
      <w:kern w:val="0"/>
      <w:sz w:val="18"/>
      <w:szCs w:val="18"/>
    </w:rPr>
  </w:style>
  <w:style w:type="paragraph" w:styleId="18">
    <w:name w:val="Normal (Web)"/>
    <w:basedOn w:val="0"/>
    <w:pPr>
      <w:spacing w:before="100" w:beforeAutospacing="1" w:after="100" w:afterAutospacing="1"/>
      <w:jc w:val="left"/>
    </w:pPr>
    <w:rPr>
      <w:kern w:val="0"/>
      <w:sz w:val="24"/>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jc w:val="left"/>
    </w:pPr>
    <w:rPr>
      <w:rFonts w:ascii="宋体"/>
      <w:kern w:val="0"/>
      <w:sz w:val="24"/>
      <w:szCs w:val="24"/>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782</TotalTime>
  <Application>Yozo_Office</Application>
  <Pages>10</Pages>
  <Words>4458</Words>
  <Characters>5012</Characters>
  <Lines>374</Lines>
  <Paragraphs>200</Paragraphs>
  <CharactersWithSpaces>5034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48</cp:revision>
  <cp:lastPrinted>2023-08-10T09:16:00Z</cp:lastPrinted>
  <dcterms:created xsi:type="dcterms:W3CDTF">2021-07-06T14:32:00Z</dcterms:created>
  <dcterms:modified xsi:type="dcterms:W3CDTF">2025-08-22T07:20:34Z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2052-11.1.0.10938</vt:lpwstr>
  </property>
  <property fmtid="{D5CDD505-2E9C-101B-9397-08002B2CF9AE}" pid="3" name="ICV">
    <vt:lpwstr>C5C051BE58ED47B681D748640379E264</vt:lpwstr>
  </property>
</Properties>
</file>