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ind w:firstLineChars="200" w:firstLine="880"/>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重庆市江津区城市管理综合行政执法支队</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kern w:val="0"/>
          <w:sz w:val="32"/>
          <w:szCs w:val="32"/>
        </w:rPr>
      </w:pPr>
      <w:r>
        <w:rPr>
          <w:rFonts w:eastAsia="方正仿宋_GBK"/>
          <w:color w:val="000000"/>
          <w:kern w:val="0"/>
          <w:sz w:val="32"/>
          <w:szCs w:val="32"/>
        </w:rPr>
        <w:t>重庆市江津区城市管理综合行政执法支队以区城市管理局名义执法，统一行使区级城市管理行政处罚权及与之有关的行政检查、行政强制权等执法职能。1.</w:t>
      </w:r>
      <w:r>
        <w:rPr>
          <w:rFonts w:eastAsia="方正仿宋_GBK"/>
          <w:snapToGrid w:val="0"/>
          <w:color w:val="000000"/>
          <w:sz w:val="32"/>
          <w:szCs w:val="32"/>
        </w:rPr>
        <w:t>宣传贯彻城市管理行政执法方面的法律、法规、规章和方针政策。2.</w:t>
      </w:r>
      <w:r>
        <w:rPr>
          <w:rFonts w:eastAsia="方正仿宋_GBK"/>
          <w:color w:val="000000"/>
          <w:sz w:val="32"/>
          <w:szCs w:val="32"/>
        </w:rPr>
        <w:t>承担全区城市管理综合行政执法组织协调。组织开展有关专项执法。拟订城市管理综合</w:t>
      </w:r>
      <w:r>
        <w:rPr>
          <w:rFonts w:eastAsia="方正仿宋_GBK"/>
          <w:color w:val="000000"/>
          <w:kern w:val="0"/>
          <w:sz w:val="32"/>
          <w:szCs w:val="32"/>
        </w:rPr>
        <w:t>行政执法管理制度。</w:t>
      </w:r>
      <w:r>
        <w:rPr>
          <w:rFonts w:eastAsia="方正仿宋_GBK"/>
          <w:snapToGrid w:val="0"/>
          <w:color w:val="000000"/>
          <w:sz w:val="32"/>
          <w:szCs w:val="32"/>
        </w:rPr>
        <w:t>3.负责市政公用、市容环卫、城镇供水节水、园林绿化等各项违法行为的行政处罚及相应的行政强制等行政执法工作。4.负责城市违法建筑的行政处罚及相应的行政强制等行政执法工作。5.负责城镇露天烧烤、城镇焚烧沥青塑料垃圾等烟尘和恶臭污染、城镇露天焚烧秸秆</w:t>
      </w:r>
      <w:bookmarkStart w:id="0" w:name="_GoBack"/>
      <w:bookmarkEnd w:id="0"/>
      <w:r>
        <w:rPr>
          <w:rFonts w:eastAsia="方正仿宋_GBK"/>
          <w:snapToGrid w:val="0"/>
          <w:color w:val="000000"/>
          <w:sz w:val="32"/>
          <w:szCs w:val="32"/>
        </w:rPr>
        <w:t>、落叶等烟尘污染，违规设置户外广告，向城市河道倾倒废弃物和垃圾等违法行为的行政处罚及相应的行政强制等行政执法工作。6.负责城市管理综合行政执法队伍建设管理工作。7.负责统筹协调、监督指导镇、街道、工业园城市管理执法工作。8.承担与城市管理综合行政执法有关的应急工作。9.完成区委、区政府和区城市管理局交办的其他任务。</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outlineLvl w:val="0"/>
        <w:rPr>
          <w:rFonts w:eastAsia="方正仿宋_GBK"/>
          <w:color w:val="000000"/>
          <w:sz w:val="32"/>
          <w:szCs w:val="32"/>
        </w:rPr>
      </w:pPr>
      <w:r>
        <w:rPr>
          <w:rFonts w:eastAsia="方正仿宋_GBK"/>
          <w:color w:val="000000"/>
          <w:sz w:val="32"/>
          <w:szCs w:val="32"/>
        </w:rPr>
        <w:t>重庆市江津区城市管理综合行政执法支队为重庆市江津区城市管理局管理的副处级行政执法机构。核定参公编制76名，实有在职职工</w:t>
      </w:r>
      <w:r>
        <w:rPr>
          <w:rFonts w:eastAsia="方正仿宋_GBK" w:hint="eastAsia"/>
          <w:color w:val="000000"/>
          <w:sz w:val="32"/>
          <w:szCs w:val="32"/>
        </w:rPr>
        <w:t>70</w:t>
      </w:r>
      <w:r>
        <w:rPr>
          <w:rFonts w:eastAsia="方正仿宋_GBK"/>
          <w:color w:val="000000"/>
          <w:sz w:val="32"/>
          <w:szCs w:val="32"/>
        </w:rPr>
        <w:t>人，退休职工</w:t>
      </w:r>
      <w:r>
        <w:rPr>
          <w:rFonts w:eastAsia="方正仿宋_GBK" w:hint="eastAsia"/>
          <w:color w:val="000000"/>
          <w:sz w:val="32"/>
          <w:szCs w:val="32"/>
        </w:rPr>
        <w:t>8</w:t>
      </w:r>
      <w:r>
        <w:rPr>
          <w:rFonts w:eastAsia="方正仿宋_GBK"/>
          <w:color w:val="000000"/>
          <w:sz w:val="32"/>
          <w:szCs w:val="32"/>
        </w:rPr>
        <w:t>人。根据上述职责任务，重庆市江津区城市管理综合行政执法支队设置6个内设机构，分别是综合科、督查监察科、市政公用设施执法大队、市容园林绿化执法大队、综合执法大队、城市违法建筑执法大队。</w:t>
      </w:r>
    </w:p>
    <w:p>
      <w:pPr>
        <w:spacing w:line="579" w:lineRule="exact"/>
        <w:ind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2"/>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3"/>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方正仿宋_GBK" w:eastAsia="方正仿宋_GBK" w:cs="方正仿宋_GBK"/>
          <w:sz w:val="32"/>
          <w:szCs w:val="32"/>
          <w:shd w:val="clear" w:color="auto" w:fill="FFFFFF"/>
        </w:rPr>
        <w:t>1478.70</w:t>
      </w:r>
      <w:r>
        <w:rPr>
          <w:rFonts w:ascii="宋体" w:eastAsia="方正仿宋_GBK" w:cs="方正仿宋_GBK" w:hAnsi="宋体" w:hint="eastAsia"/>
          <w:sz w:val="32"/>
          <w:szCs w:val="32"/>
        </w:rPr>
        <w:t>万元，支出总计</w:t>
      </w:r>
      <w:r>
        <w:rPr>
          <w:rFonts w:ascii="方正仿宋_GBK" w:eastAsia="方正仿宋_GBK" w:cs="方正仿宋_GBK"/>
          <w:sz w:val="32"/>
          <w:szCs w:val="32"/>
          <w:shd w:val="clear" w:color="auto" w:fill="FFFFFF"/>
        </w:rPr>
        <w:t>1478.70</w:t>
      </w:r>
      <w:r>
        <w:rPr>
          <w:rFonts w:ascii="宋体" w:eastAsia="方正仿宋_GBK" w:cs="方正仿宋_GBK" w:hAnsi="宋体" w:hint="eastAsia"/>
          <w:sz w:val="32"/>
          <w:szCs w:val="32"/>
        </w:rPr>
        <w:t>万元。收支较上年增加</w:t>
      </w:r>
      <w:r>
        <w:rPr>
          <w:rFonts w:ascii="方正仿宋_GBK" w:eastAsia="方正仿宋_GBK" w:cs="方正仿宋_GBK"/>
          <w:sz w:val="32"/>
          <w:szCs w:val="32"/>
          <w:shd w:val="clear" w:color="auto" w:fill="FFFFFF"/>
        </w:rPr>
        <w:t>16.39</w:t>
      </w:r>
      <w:r>
        <w:rPr>
          <w:rFonts w:ascii="宋体" w:eastAsia="方正仿宋_GBK" w:cs="方正仿宋_GBK" w:hAnsi="宋体" w:hint="eastAsia"/>
          <w:sz w:val="32"/>
          <w:szCs w:val="32"/>
        </w:rPr>
        <w:t>万元，增长</w:t>
      </w:r>
      <w:r>
        <w:rPr>
          <w:rFonts w:ascii="方正仿宋_GBK" w:eastAsia="方正仿宋_GBK" w:cs="方正仿宋_GBK"/>
          <w:sz w:val="32"/>
          <w:szCs w:val="32"/>
          <w:shd w:val="clear" w:color="auto" w:fill="FFFFFF"/>
        </w:rPr>
        <w:t>1.1%</w:t>
      </w:r>
      <w:r>
        <w:rPr>
          <w:rFonts w:ascii="宋体" w:eastAsia="方正仿宋_GBK" w:cs="方正仿宋_GBK" w:hAnsi="宋体" w:hint="eastAsia"/>
          <w:sz w:val="32"/>
          <w:szCs w:val="32"/>
        </w:rPr>
        <w:t>主要原因是人员晋职晋级及政策性工资调标导致，津委编〔2024〕14号文件单位撤并区住建委执法支队35人划转至本单位导致基本支出增加。</w:t>
      </w:r>
    </w:p>
    <w:p>
      <w:pPr>
        <w:numPr>
          <w:ilvl w:val="0"/>
          <w:numId w:val="3"/>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1471.19万元，较上年增加23.17万元，增长1.6%，主要原因是人员晋职晋级及政策性工资调标导致，津委编〔2024〕14号文件单位撤并区住建委执法支队35人划转至本单位导致基本支出增加，其中：财政拨款收入1471.19万元，占比,100%；事业收入0万元；其他收入0万元。</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6.11</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7.52</w:t>
      </w:r>
      <w:r>
        <w:rPr>
          <w:rFonts w:ascii="方正仿宋_GBK" w:eastAsia="方正仿宋_GBK" w:cs="方正仿宋_GBK"/>
          <w:sz w:val="32"/>
          <w:szCs w:val="32"/>
          <w:shd w:val="clear" w:color="auto" w:fill="FFFFFF"/>
        </w:rPr>
        <w:t>万元。</w:t>
      </w:r>
    </w:p>
    <w:p>
      <w:pPr>
        <w:numPr>
          <w:ilvl w:val="0"/>
          <w:numId w:val="3"/>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2024年度本年支出合计1477.3万元，</w:t>
      </w:r>
      <w:r>
        <w:rPr>
          <w:rFonts w:ascii="宋体" w:eastAsia="方正仿宋_GBK" w:cs="方正仿宋_GBK" w:hAnsi="宋体" w:hint="eastAsia"/>
          <w:sz w:val="32"/>
        </w:rPr>
        <w:t>较上年增加22.50万元，</w:t>
      </w:r>
      <w:r>
        <w:rPr>
          <w:rFonts w:ascii="宋体" w:eastAsia="方正仿宋_GBK" w:cs="方正仿宋_GBK" w:hAnsi="宋体" w:hint="eastAsia"/>
          <w:sz w:val="32"/>
          <w:szCs w:val="32"/>
        </w:rPr>
        <w:t>增长1.6%，</w:t>
      </w:r>
      <w:r>
        <w:rPr>
          <w:rFonts w:ascii="宋体" w:eastAsia="方正仿宋_GBK" w:cs="方正仿宋_GBK" w:hAnsi="宋体" w:hint="eastAsia"/>
          <w:sz w:val="32"/>
        </w:rPr>
        <w:t>主要原因是人员晋职晋级及政策性工资调标导致，津委编〔2024〕14号文件单位撤并区住建委执法支队35人划转至本单位导致基本支出增加。</w:t>
      </w:r>
      <w:r>
        <w:rPr>
          <w:rFonts w:ascii="宋体" w:eastAsia="方正仿宋_GBK" w:cs="方正仿宋_GBK" w:hAnsi="宋体" w:hint="eastAsia"/>
          <w:sz w:val="32"/>
          <w:szCs w:val="32"/>
        </w:rPr>
        <w:t>其中：基本支出1127.53万元，占比</w:t>
      </w:r>
      <w:r>
        <w:rPr>
          <w:rFonts w:ascii="方正仿宋_GBK" w:eastAsia="方正仿宋_GBK" w:cs="方正仿宋_GBK"/>
          <w:sz w:val="32"/>
          <w:szCs w:val="32"/>
          <w:shd w:val="clear" w:color="auto" w:fill="FFFFFF"/>
        </w:rPr>
        <w:t>76.32%</w:t>
      </w:r>
      <w:r>
        <w:rPr>
          <w:rFonts w:ascii="宋体" w:eastAsia="方正仿宋_GBK" w:cs="方正仿宋_GBK" w:hAnsi="宋体" w:hint="eastAsia"/>
          <w:sz w:val="32"/>
          <w:szCs w:val="32"/>
        </w:rPr>
        <w:t>；项目支出349.77万元，占比</w:t>
      </w:r>
      <w:r>
        <w:rPr>
          <w:rFonts w:ascii="方正仿宋_GBK" w:eastAsia="方正仿宋_GBK" w:cs="方正仿宋_GBK"/>
          <w:sz w:val="32"/>
          <w:szCs w:val="32"/>
          <w:shd w:val="clear" w:color="auto" w:fill="FFFFFF"/>
        </w:rPr>
        <w:t>23.68%</w:t>
      </w:r>
      <w:r>
        <w:rPr>
          <w:rFonts w:ascii="宋体" w:eastAsia="方正仿宋_GBK" w:cs="方正仿宋_GBK" w:hAnsi="宋体" w:hint="eastAsia"/>
          <w:sz w:val="32"/>
          <w:szCs w:val="32"/>
        </w:rPr>
        <w:t>。</w:t>
      </w:r>
    </w:p>
    <w:p>
      <w:pPr>
        <w:numPr>
          <w:ilvl w:val="0"/>
          <w:numId w:val="3"/>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2024年度年末结转和结余1.41万元，与2023年度相比</w:t>
      </w:r>
      <w:r>
        <w:rPr>
          <w:rFonts w:ascii="方正仿宋_GBK" w:eastAsia="方正仿宋_GBK" w:cs="方正仿宋_GBK"/>
          <w:sz w:val="32"/>
          <w:szCs w:val="32"/>
          <w:shd w:val="clear" w:color="auto" w:fill="FFFFFF"/>
        </w:rPr>
        <w:t>减少6.11万元，下降81.3%</w:t>
      </w:r>
      <w:r>
        <w:rPr>
          <w:rFonts w:ascii="方正仿宋_GBK" w:eastAsia="方正仿宋_GBK" w:cs="方正仿宋_GBK" w:hint="eastAsia"/>
          <w:sz w:val="32"/>
          <w:szCs w:val="32"/>
          <w:shd w:val="clear" w:color="auto" w:fill="FFFFFF"/>
        </w:rPr>
        <w:t>,</w:t>
      </w:r>
      <w:r>
        <w:rPr>
          <w:rFonts w:ascii="宋体" w:eastAsia="方正仿宋_GBK" w:cs="方正仿宋_GBK" w:hAnsi="宋体" w:hint="eastAsia"/>
          <w:sz w:val="32"/>
          <w:szCs w:val="32"/>
        </w:rPr>
        <w:t>主要是弥补经费不足</w:t>
      </w:r>
      <w:r>
        <w:rPr>
          <w:rFonts w:ascii="宋体" w:eastAsia="方正仿宋_GBK" w:cs="方正仿宋_GBK" w:hAnsi="宋体" w:hint="eastAsia"/>
          <w:kern w:val="0"/>
          <w:sz w:val="32"/>
          <w:szCs w:val="32"/>
        </w:rPr>
        <w:t>。</w:t>
      </w:r>
    </w:p>
    <w:p>
      <w:pPr>
        <w:numPr>
          <w:ilvl w:val="0"/>
          <w:numId w:val="2"/>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w:t>
      </w:r>
      <w:r>
        <w:rPr>
          <w:rFonts w:ascii="宋体" w:eastAsia="方正仿宋_GBK" w:cs="方正仿宋_GBK" w:hAnsi="宋体" w:hint="eastAsia"/>
          <w:sz w:val="32"/>
          <w:szCs w:val="32"/>
        </w:rPr>
        <w:t>1471.19</w:t>
      </w:r>
      <w:r>
        <w:rPr>
          <w:rFonts w:ascii="宋体" w:eastAsia="方正仿宋_GBK" w:cs="方正仿宋_GBK" w:hAnsi="宋体" w:hint="eastAsia"/>
          <w:sz w:val="32"/>
        </w:rPr>
        <w:t>万元，支出总计</w:t>
      </w:r>
      <w:r>
        <w:rPr>
          <w:rFonts w:ascii="宋体" w:eastAsia="方正仿宋_GBK" w:cs="方正仿宋_GBK" w:hAnsi="宋体" w:hint="eastAsia"/>
          <w:sz w:val="32"/>
          <w:szCs w:val="32"/>
        </w:rPr>
        <w:t>1471.19</w:t>
      </w:r>
      <w:r>
        <w:rPr>
          <w:rFonts w:ascii="宋体" w:eastAsia="方正仿宋_GBK" w:cs="方正仿宋_GBK" w:hAnsi="宋体" w:hint="eastAsia"/>
          <w:sz w:val="32"/>
        </w:rPr>
        <w:t>万元。收支较上年增加</w:t>
      </w:r>
      <w:r>
        <w:rPr>
          <w:rFonts w:ascii="宋体" w:eastAsia="方正仿宋_GBK" w:cs="方正仿宋_GBK" w:hAnsi="宋体" w:hint="eastAsia"/>
          <w:sz w:val="32"/>
          <w:szCs w:val="32"/>
        </w:rPr>
        <w:t>23.17</w:t>
      </w:r>
      <w:r>
        <w:rPr>
          <w:rFonts w:ascii="宋体" w:eastAsia="方正仿宋_GBK" w:cs="方正仿宋_GBK" w:hAnsi="宋体" w:hint="eastAsia"/>
          <w:sz w:val="32"/>
        </w:rPr>
        <w:t>万元，增长1.6%，主要原因</w:t>
      </w:r>
      <w:r>
        <w:rPr>
          <w:rFonts w:ascii="宋体" w:eastAsia="方正仿宋_GBK" w:cs="方正仿宋_GBK" w:hAnsi="宋体" w:hint="eastAsia"/>
          <w:sz w:val="32"/>
          <w:szCs w:val="32"/>
        </w:rPr>
        <w:t>是人员晋职晋级及政策性工资调标导致，津委编〔2024〕14号文件单位撤并区住建委执法支队35人划转至本单位导致基本支出增加</w:t>
      </w:r>
      <w:r>
        <w:rPr>
          <w:rFonts w:ascii="宋体" w:eastAsia="方正仿宋_GBK" w:cs="方正仿宋_GBK" w:hAnsi="宋体" w:hint="eastAsia"/>
          <w:sz w:val="32"/>
        </w:rPr>
        <w:t>。</w:t>
      </w:r>
    </w:p>
    <w:p>
      <w:pPr>
        <w:numPr>
          <w:ilvl w:val="0"/>
          <w:numId w:val="2"/>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4"/>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w:t>
      </w:r>
      <w:r>
        <w:rPr>
          <w:rFonts w:ascii="宋体" w:eastAsia="方正仿宋_GBK" w:cs="方正仿宋_GBK" w:hAnsi="宋体" w:hint="eastAsia"/>
          <w:sz w:val="32"/>
          <w:szCs w:val="32"/>
        </w:rPr>
        <w:t>1471.19</w:t>
      </w:r>
      <w:r>
        <w:rPr>
          <w:rFonts w:ascii="宋体" w:eastAsia="方正仿宋_GBK" w:cs="方正仿宋_GBK" w:hAnsi="宋体" w:hint="eastAsia"/>
          <w:sz w:val="32"/>
        </w:rPr>
        <w:t>万元，较上年决算数增加23.17万元，增长1.6%，主要原因</w:t>
      </w:r>
      <w:r>
        <w:rPr>
          <w:rFonts w:ascii="宋体" w:eastAsia="方正仿宋_GBK" w:cs="方正仿宋_GBK" w:hAnsi="宋体" w:hint="eastAsia"/>
          <w:sz w:val="32"/>
          <w:szCs w:val="32"/>
        </w:rPr>
        <w:t>是人员晋职晋级及政策性工资调标导致，津委编〔2024〕14号文件单位撤并区住建委执法支队35人划转至本单位导致基本支出增加</w:t>
      </w:r>
      <w:r>
        <w:rPr>
          <w:rFonts w:ascii="宋体" w:eastAsia="方正仿宋_GBK" w:cs="方正仿宋_GBK" w:hAnsi="宋体" w:hint="eastAsia"/>
          <w:sz w:val="32"/>
        </w:rPr>
        <w:t>。较年初预算数增加234.13万元，增长</w:t>
      </w:r>
      <w:r>
        <w:rPr>
          <w:rFonts w:ascii="方正仿宋_GBK" w:eastAsia="方正仿宋_GBK" w:cs="方正仿宋_GBK"/>
          <w:sz w:val="32"/>
          <w:szCs w:val="32"/>
          <w:shd w:val="clear" w:color="auto" w:fill="FFFFFF"/>
        </w:rPr>
        <w:t>18.9</w:t>
      </w:r>
      <w:r>
        <w:rPr>
          <w:rFonts w:ascii="宋体" w:eastAsia="方正仿宋_GBK" w:cs="方正仿宋_GBK" w:hAnsi="宋体" w:hint="eastAsia"/>
          <w:sz w:val="32"/>
        </w:rPr>
        <w:t>%，主要原因是</w:t>
      </w:r>
      <w:r>
        <w:rPr>
          <w:rFonts w:ascii="宋体" w:eastAsia="方正仿宋_GBK" w:cs="方正仿宋_GBK" w:hAnsi="宋体" w:hint="eastAsia"/>
          <w:sz w:val="32"/>
          <w:szCs w:val="32"/>
        </w:rPr>
        <w:t>人员晋职晋级及政策性工资调标导致，津委编〔2024〕14号文件单位撤并区住建委执法支队35人划转至本单位导致基本支出增加</w:t>
      </w:r>
      <w:r>
        <w:rPr>
          <w:rFonts w:ascii="方正仿宋_GBK" w:eastAsia="方正仿宋_GBK" w:cs="方正仿宋_GBK"/>
          <w:sz w:val="32"/>
          <w:szCs w:val="32"/>
          <w:shd w:val="clear" w:color="auto" w:fill="FFFFFF"/>
        </w:rPr>
        <w:t>。</w:t>
      </w:r>
    </w:p>
    <w:p>
      <w:pPr>
        <w:numPr>
          <w:ilvl w:val="0"/>
          <w:numId w:val="4"/>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w:t>
      </w:r>
      <w:r>
        <w:rPr>
          <w:rFonts w:ascii="方正仿宋_GBK" w:eastAsia="方正仿宋_GBK" w:cs="方正仿宋_GBK"/>
          <w:sz w:val="32"/>
          <w:szCs w:val="32"/>
        </w:rPr>
        <w:t>1471.19</w:t>
      </w:r>
      <w:r>
        <w:rPr>
          <w:rFonts w:ascii="宋体" w:eastAsia="方正仿宋_GBK" w:cs="方正仿宋_GBK" w:hAnsi="宋体" w:hint="eastAsia"/>
          <w:sz w:val="32"/>
        </w:rPr>
        <w:t>万元，较上年决算数增加</w:t>
      </w:r>
      <w:r>
        <w:rPr>
          <w:rFonts w:ascii="方正仿宋_GBK" w:eastAsia="方正仿宋_GBK" w:cs="方正仿宋_GBK"/>
          <w:sz w:val="32"/>
          <w:szCs w:val="32"/>
          <w:shd w:val="clear" w:color="auto" w:fill="FFFFFF"/>
        </w:rPr>
        <w:t>23.17</w:t>
      </w:r>
      <w:r>
        <w:rPr>
          <w:rFonts w:ascii="宋体" w:eastAsia="方正仿宋_GBK" w:cs="方正仿宋_GBK" w:hAnsi="宋体" w:hint="eastAsia"/>
          <w:sz w:val="32"/>
        </w:rPr>
        <w:t>万元，增长1.6%，主要原因是人员晋职晋级及政策性工资调标导致，津委编〔2024〕14号文件单位撤并区住建委执法支队35人划转至本单位导致基本支出增加。较年初预算数增加</w:t>
      </w:r>
      <w:r>
        <w:rPr>
          <w:rFonts w:ascii="方正仿宋_GBK" w:eastAsia="方正仿宋_GBK" w:cs="方正仿宋_GBK"/>
          <w:sz w:val="32"/>
          <w:szCs w:val="32"/>
          <w:shd w:val="clear" w:color="auto" w:fill="FFFFFF"/>
        </w:rPr>
        <w:t>234.13</w:t>
      </w:r>
      <w:r>
        <w:rPr>
          <w:rFonts w:ascii="宋体" w:eastAsia="方正仿宋_GBK" w:cs="方正仿宋_GBK" w:hAnsi="宋体" w:hint="eastAsia"/>
          <w:sz w:val="32"/>
        </w:rPr>
        <w:t>万元，增长18.9%，主要原因是人员晋职晋级及政策性工资调标导致，津委编〔2024〕14号文件单位撤并区住建委执法支队35人划转至本单位导致基本支出增加。</w:t>
      </w:r>
    </w:p>
    <w:p>
      <w:pPr>
        <w:numPr>
          <w:ilvl w:val="0"/>
          <w:numId w:val="4"/>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宋体" w:eastAsia="方正仿宋_GBK" w:cs="方正仿宋_GBK" w:hAnsi="宋体" w:hint="eastAsia"/>
          <w:sz w:val="32"/>
          <w:szCs w:val="32"/>
        </w:rPr>
        <w:t>0</w:t>
      </w:r>
      <w:r>
        <w:rPr>
          <w:rFonts w:ascii="方正仿宋_GBK" w:eastAsia="方正仿宋_GBK" w:cs="方正仿宋_GBK"/>
          <w:sz w:val="32"/>
          <w:szCs w:val="32"/>
          <w:shd w:val="clear" w:color="auto" w:fill="FFFFFF"/>
        </w:rPr>
        <w:t>万元，与2023年度相比与2023年度相比，无增减</w:t>
      </w:r>
      <w:r>
        <w:rPr>
          <w:rFonts w:ascii="方正仿宋_GBK" w:eastAsia="方正仿宋_GBK" w:cs="方正仿宋_GBK" w:hint="eastAsia"/>
          <w:sz w:val="32"/>
          <w:szCs w:val="32"/>
          <w:shd w:val="clear" w:color="auto" w:fill="FFFFFF"/>
        </w:rPr>
        <w:t>。</w:t>
      </w:r>
    </w:p>
    <w:p>
      <w:pPr>
        <w:pStyle w:val="18"/>
        <w:widowControl/>
        <w:numPr>
          <w:ilvl w:val="0"/>
          <w:numId w:val="4"/>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教育支出3.34万元，占比0.23%。较年初预算数减少1.05万元，下降23.9%，主要是落实《江津区党政机关过紧日子苦日子实施方案》减少开支。</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144.17万元，占比9.80%。较年初预算数增加23.11万元，增长19.1%，主要原因是人员晋职晋级及政策性工资调标导致，津委编〔2024〕14号文件单位撤并区住建委执法支队35人划转至本单位导致基本支出增加。</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卫生健康支出65.23万元，占比4.43%。较年初预算数增加7.73万元，增长13.4%，主要原因是人员晋职晋级及政策性工资调标导致，津委编〔2024〕14号文件单位撤并区住建委执法支队35人划转至本单位导致基本支出增加。</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城乡社区支出1185.77万元，占比80.61%。较年初预算数增加193.34万元，增长</w:t>
      </w:r>
      <w:r>
        <w:rPr>
          <w:rFonts w:ascii="方正仿宋_GBK" w:eastAsia="方正仿宋_GBK" w:cs="方正仿宋_GBK"/>
          <w:sz w:val="32"/>
          <w:szCs w:val="32"/>
          <w:shd w:val="clear" w:color="auto" w:fill="FFFFFF"/>
        </w:rPr>
        <w:t>19.5</w:t>
      </w:r>
      <w:r>
        <w:rPr>
          <w:rFonts w:ascii="宋体" w:eastAsia="方正仿宋_GBK" w:cs="方正仿宋_GBK" w:hAnsi="宋体" w:hint="eastAsia"/>
          <w:sz w:val="32"/>
        </w:rPr>
        <w:t>%，主要原因是人员晋职晋级及政策性工资调标导致，津委编〔2024〕14号文件单位撤并区住建委执法支队35人划转至本单位导致基本支出增加。</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住房保障支出72.68万元，占比4.94%。较年初预算数增加11.1万元，增长</w:t>
      </w:r>
      <w:r>
        <w:rPr>
          <w:rFonts w:ascii="方正仿宋_GBK" w:eastAsia="方正仿宋_GBK" w:cs="方正仿宋_GBK"/>
          <w:sz w:val="32"/>
          <w:szCs w:val="32"/>
          <w:shd w:val="clear" w:color="auto" w:fill="FFFFFF"/>
        </w:rPr>
        <w:t>18</w:t>
      </w:r>
      <w:r>
        <w:rPr>
          <w:rFonts w:ascii="宋体" w:eastAsia="方正仿宋_GBK" w:cs="方正仿宋_GBK" w:hAnsi="宋体" w:hint="eastAsia"/>
          <w:sz w:val="32"/>
        </w:rPr>
        <w:t>%，主要原因是人员晋职晋级及政策性工资调标导致，津委编〔2024〕14号文件单位撤并区住建委执法支队35人划转至本单位导致基本支出增加。</w:t>
      </w:r>
    </w:p>
    <w:p>
      <w:pPr>
        <w:numPr>
          <w:ilvl w:val="0"/>
          <w:numId w:val="2"/>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1127.53万元。其中：人员经费922.09万元，主要用于基本工资、津贴补贴、社会保障缴费、住房公积金等，较上年决算数增加193.25万元，增长26.52%，主要原因是津委编〔2024〕14号文件单位撤并区住建委执法支队35人划转至本单位导致人员经费增加。公用经费205.44万元，主要用于办公经费、印刷费、水费、电费、维修费、其他商品服务支出等。较上年决算数增加46.65万元，增长29.38%，主要原因是津委编〔2024〕14号文件单位撤并区住建委执法支队35人划转至本单位导致公用经费增加。</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2024年度“三公”经费支出共计3.11万元，较年初预算数减少0.19万元，下降5.8%，主要原因是压减支出。较上年支出增加2.65万元，增长576.1%，主要原因是增加公务接待费和车辆购买燃油。</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highlight w:val="yellow"/>
        </w:rPr>
      </w:pPr>
      <w:r>
        <w:rPr>
          <w:rFonts w:ascii="宋体" w:eastAsia="方正仿宋_GBK" w:cs="方正仿宋_GBK" w:hAnsi="宋体" w:hint="eastAsia"/>
          <w:sz w:val="32"/>
        </w:rPr>
        <w:t>本单位无因公出国（境）费用。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公务车购置费用0万元。费用支出较年初预算数增加0万元。</w:t>
      </w:r>
    </w:p>
    <w:p>
      <w:pPr>
        <w:pStyle w:val="18"/>
        <w:widowControl/>
        <w:spacing w:before="0" w:beforeAutospacing="0" w:afterAutospacing="0" w:line="579" w:lineRule="exact"/>
        <w:ind w:firstLineChars="200" w:firstLine="640"/>
        <w:jc w:val="both"/>
        <w:rPr>
          <w:rFonts w:ascii="宋体" w:eastAsia="方正仿宋_GBK" w:cs="方正仿宋_GBK" w:hAnsi="宋体"/>
          <w:sz w:val="32"/>
          <w:highlight w:val="yellow"/>
        </w:rPr>
      </w:pPr>
      <w:r>
        <w:rPr>
          <w:rFonts w:ascii="宋体" w:eastAsia="方正仿宋_GBK" w:cs="方正仿宋_GBK" w:hAnsi="宋体" w:hint="eastAsia"/>
          <w:sz w:val="32"/>
        </w:rPr>
        <w:t>公务车运行维护费2.94万元，主要用于车辆维修、加油、过路费等。费用支出较年初预算数减少0.06万元，较上年支出数增加2.48万元，增长539.1%，主要原因是外出检查增多，增加购买燃油支出。</w:t>
      </w:r>
    </w:p>
    <w:p>
      <w:pPr>
        <w:pStyle w:val="18"/>
        <w:widowControl/>
        <w:spacing w:before="0" w:beforeAutospacing="0" w:afterAutospacing="0" w:line="579" w:lineRule="exact"/>
        <w:ind w:firstLineChars="200" w:firstLine="640"/>
        <w:jc w:val="both"/>
        <w:rPr>
          <w:rFonts w:ascii="宋体" w:eastAsia="方正仿宋_GBK" w:cs="方正仿宋_GBK" w:hAnsi="宋体"/>
          <w:sz w:val="32"/>
          <w:highlight w:val="yellow"/>
        </w:rPr>
      </w:pPr>
      <w:r>
        <w:rPr>
          <w:rFonts w:ascii="宋体" w:eastAsia="方正仿宋_GBK" w:cs="方正仿宋_GBK" w:hAnsi="宋体" w:hint="eastAsia"/>
          <w:sz w:val="32"/>
        </w:rPr>
        <w:t>公务接待费0.17万元，主要用于接待垫江城市管理综合行政执法相关人员。费用支出较年初预算数增加0.13万元，较上年支出数增加0.17万元，增长100%，主要原因是增加公务接待活动。</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公务用车购置0辆，公务车保有量为1辆；国内公务接待1批次18人，其中：国内外事接待0批次，0人；国（境）外公务接待0批次，0人。人均接待费93.33元，车均购置费0万元，车均维护费2.94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与2023年度相比，无增减</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本年度培训费支出</w:t>
      </w:r>
      <w:r>
        <w:rPr>
          <w:rFonts w:ascii="方正仿宋_GBK" w:eastAsia="方正仿宋_GBK" w:cs="方正仿宋_GBK" w:hint="eastAsia"/>
          <w:sz w:val="32"/>
          <w:szCs w:val="32"/>
        </w:rPr>
        <w:t>3.34</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减少4.76</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下降58.8</w:t>
      </w:r>
      <w:r>
        <w:rPr>
          <w:rFonts w:ascii="方正仿宋_GBK" w:eastAsia="方正仿宋_GBK" w:cs="方正仿宋_GBK"/>
          <w:sz w:val="32"/>
          <w:szCs w:val="32"/>
          <w:shd w:val="clear" w:color="auto" w:fill="FFFFFF"/>
        </w:rPr>
        <w:t>%，主要原因是</w:t>
      </w:r>
      <w:r>
        <w:rPr>
          <w:rFonts w:ascii="方正仿宋_GBK" w:eastAsia="方正仿宋_GBK" w:cs="方正仿宋_GBK" w:hint="eastAsia"/>
          <w:sz w:val="32"/>
          <w:szCs w:val="32"/>
          <w:shd w:val="clear" w:color="auto" w:fill="FFFFFF"/>
        </w:rPr>
        <w:t>落实《江津区党政机关过紧日子苦日子实施方案》节约开支。</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2024年度本部门机关运行经费支出205.44万元，较上年增加46.65万元，增长29.4%，主要原因是根据津委编</w:t>
      </w:r>
      <w:r>
        <w:rPr>
          <w:rFonts w:ascii="宋体" w:eastAsia="方正仿宋_GBK" w:cs="方正仿宋_GBK" w:hAnsi="宋体" w:hint="eastAsia"/>
          <w:sz w:val="32"/>
        </w:rPr>
        <w:t>〔2024〕14号文件单位撤并区住建委执法支队35人划转至本单位导致人员经费增加</w:t>
      </w:r>
      <w:r>
        <w:rPr>
          <w:rFonts w:ascii="宋体" w:eastAsia="方正仿宋_GBK" w:cs="方正仿宋_GBK" w:hAnsi="宋体" w:hint="eastAsia"/>
          <w:kern w:val="0"/>
          <w:sz w:val="32"/>
          <w:szCs w:val="32"/>
        </w:rPr>
        <w:t>。比年初预算数增加42.27万元，增长20.57%，主要原因是根据津委编</w:t>
      </w:r>
      <w:r>
        <w:rPr>
          <w:rFonts w:ascii="宋体" w:eastAsia="方正仿宋_GBK" w:cs="方正仿宋_GBK" w:hAnsi="宋体" w:hint="eastAsia"/>
          <w:sz w:val="32"/>
        </w:rPr>
        <w:t>〔2024〕14号文件单位撤并区住建委执法支队35人划转至本单位导致人员经费增加</w:t>
      </w:r>
      <w:r>
        <w:rPr>
          <w:rFonts w:ascii="宋体" w:eastAsia="方正仿宋_GBK" w:cs="方正仿宋_GBK" w:hAnsi="宋体" w:hint="eastAsia"/>
          <w:kern w:val="0"/>
          <w:sz w:val="32"/>
          <w:szCs w:val="32"/>
        </w:rPr>
        <w:t>。机关运动经费主要用于</w:t>
      </w:r>
      <w:r>
        <w:rPr>
          <w:rFonts w:ascii="宋体" w:eastAsia="方正仿宋_GBK" w:cs="方正仿宋_GBK" w:hAnsi="宋体" w:hint="eastAsia"/>
          <w:sz w:val="32"/>
        </w:rPr>
        <w:t>公经费、印刷费、水费、电费、维修费、其他商品服务支出等。</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1辆。其中：副部（省）级及以上领导用车0辆，主要负责人用车0辆，机要通信用车0辆，应急保障用车1辆，执法执勤用车0辆，特种专业技术用车0辆，离退休干部服务用车0辆，其他用车0辆。单价100万元（含）以上设备（不含车辆）0台（套）。</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2.01万元，其中：政府采购货物支出2.01万元、政府采购工程支出0万元、政府采购服务支出0万元。授予中小企业合同金额2.01万元，占政府采购支出总额的100%，其中：授予小微企业合同金额2.01万元，占政府采购支出总额的100%。</w:t>
      </w:r>
      <w:r>
        <w:rPr>
          <w:rFonts w:ascii="宋体" w:eastAsia="方正仿宋_GBK" w:cs="方正仿宋_GBK" w:hAnsi="宋体" w:hint="eastAsia"/>
          <w:sz w:val="32"/>
        </w:rPr>
        <w:t>主要用于采购空调及打印纸等。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根据预算绩效管理要求，我支队对5个项目开展了绩效自评，其中，以填报目标自评表形式开展自评5项，涉及资金</w:t>
      </w:r>
      <w:r>
        <w:rPr>
          <w:rFonts w:ascii="微软雅黑" w:eastAsia="微软雅黑" w:cs="微软雅黑"/>
          <w:color w:val="171A1D"/>
          <w:sz w:val="21"/>
          <w:szCs w:val="21"/>
          <w:shd w:val="clear" w:color="auto" w:fill="FFFFFF"/>
        </w:rPr>
        <w:t>343</w:t>
      </w:r>
      <w:r>
        <w:rPr>
          <w:rFonts w:ascii="微软雅黑" w:eastAsia="微软雅黑" w:cs="微软雅黑" w:hint="eastAsia"/>
          <w:color w:val="171A1D"/>
          <w:sz w:val="21"/>
          <w:szCs w:val="21"/>
          <w:shd w:val="clear" w:color="auto" w:fill="FFFFFF"/>
        </w:rPr>
        <w:t>.</w:t>
      </w:r>
      <w:r>
        <w:rPr>
          <w:rFonts w:ascii="微软雅黑" w:eastAsia="微软雅黑" w:cs="微软雅黑"/>
          <w:color w:val="171A1D"/>
          <w:sz w:val="21"/>
          <w:szCs w:val="21"/>
          <w:shd w:val="clear" w:color="auto" w:fill="FFFFFF"/>
        </w:rPr>
        <w:t>6</w:t>
      </w:r>
      <w:r>
        <w:rPr>
          <w:rFonts w:ascii="微软雅黑" w:eastAsia="微软雅黑" w:cs="微软雅黑" w:hint="eastAsia"/>
          <w:color w:val="171A1D"/>
          <w:sz w:val="21"/>
          <w:szCs w:val="21"/>
          <w:shd w:val="clear" w:color="auto" w:fill="FFFFFF"/>
        </w:rPr>
        <w:t>6</w:t>
      </w:r>
      <w:r>
        <w:rPr>
          <w:rFonts w:ascii="宋体" w:eastAsia="方正仿宋_GBK" w:cs="方正仿宋_GBK" w:hAnsi="宋体" w:hint="eastAsia"/>
          <w:sz w:val="32"/>
          <w:szCs w:val="32"/>
        </w:rPr>
        <w:t>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（1）公开范围。我单位无重点专项项目，选择一个一般性项目绩效自评表进行公开。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2024年度部门整体绩效自评表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927"/>
        <w:gridCol w:w="537"/>
        <w:gridCol w:w="709"/>
        <w:gridCol w:w="366"/>
        <w:gridCol w:w="342"/>
        <w:gridCol w:w="704"/>
        <w:gridCol w:w="153"/>
        <w:gridCol w:w="1255"/>
        <w:gridCol w:w="816"/>
        <w:gridCol w:w="1404"/>
        <w:gridCol w:w="1236"/>
        <w:gridCol w:w="836"/>
      </w:tblGrid>
      <w:tr>
        <w:trPr>
          <w:trHeight w:val="1138"/>
        </w:trPr>
        <w:tc>
          <w:tcPr>
            <w:tcW w:w="847"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585" w:type="dxa"/>
            <w:gridSpan w:val="6"/>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执法装备和综合行政执法专项经费</w:t>
            </w:r>
          </w:p>
        </w:tc>
        <w:tc>
          <w:tcPr>
            <w:tcW w:w="140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w:t>
            </w:r>
          </w:p>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4292" w:type="dxa"/>
            <w:gridSpan w:val="4"/>
            <w:tcBorders>
              <w:tl2br w:val="nil"/>
              <w:tr2bl w:val="nil"/>
            </w:tcBorders>
            <w:noWrap/>
            <w:vAlign w:val="center"/>
          </w:tcPr>
          <w:p>
            <w:pPr>
              <w:widowControl/>
              <w:spacing w:line="579" w:lineRule="exact"/>
              <w:ind w:firstLineChars="600" w:firstLine="1440"/>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r>
      <w:tr>
        <w:trPr>
          <w:trHeight w:val="1212"/>
        </w:trPr>
        <w:tc>
          <w:tcPr>
            <w:tcW w:w="847"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464"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403-重庆市江津区城市管理局</w:t>
            </w:r>
          </w:p>
        </w:tc>
        <w:tc>
          <w:tcPr>
            <w:tcW w:w="1075"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046"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004-经济建设科</w:t>
            </w:r>
          </w:p>
        </w:tc>
        <w:tc>
          <w:tcPr>
            <w:tcW w:w="1408"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816"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陶晓波</w:t>
            </w:r>
          </w:p>
        </w:tc>
        <w:tc>
          <w:tcPr>
            <w:tcW w:w="1404"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072"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15223378696</w:t>
            </w:r>
          </w:p>
        </w:tc>
      </w:tr>
      <w:tr>
        <w:trPr>
          <w:trHeight w:val="1697"/>
        </w:trPr>
        <w:tc>
          <w:tcPr>
            <w:tcW w:w="84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464"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075"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046" w:type="dxa"/>
            <w:gridSpan w:val="2"/>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224" w:type="dxa"/>
            <w:gridSpan w:val="3"/>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404"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236"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836" w:type="dxa"/>
            <w:tcBorders>
              <w:tl2br w:val="nil"/>
              <w:tr2bl w:val="nil"/>
            </w:tcBorders>
            <w:noWrap/>
            <w:vAlign w:val="center"/>
          </w:tcPr>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shd w:val="clear" w:color="auto" w:fill="auto"/>
            <w:noWrap/>
            <w:vAlign w:val="center"/>
          </w:tcPr>
          <w:p>
            <w:pPr>
              <w:widowControl/>
              <w:jc w:val="right"/>
              <w:textAlignment w:val="center"/>
              <w:rPr>
                <w:rFonts w:ascii="宋体" w:cs="宋体"/>
                <w:color w:val="000000"/>
                <w:sz w:val="22"/>
              </w:rPr>
            </w:pPr>
            <w:r>
              <w:rPr>
                <w:rFonts w:ascii="宋体" w:eastAsia="方正仿宋_GBK" w:cs="方正仿宋_GBK" w:hAnsi="宋体" w:hint="eastAsia"/>
                <w:color w:val="000000"/>
                <w:kern w:val="0"/>
                <w:sz w:val="24"/>
                <w:szCs w:val="24"/>
              </w:rPr>
              <w:t>224974</w:t>
            </w:r>
          </w:p>
        </w:tc>
        <w:tc>
          <w:tcPr>
            <w:tcW w:w="1046" w:type="dxa"/>
            <w:gridSpan w:val="2"/>
            <w:tcBorders>
              <w:tl2br w:val="nil"/>
              <w:tr2bl w:val="nil"/>
            </w:tcBorders>
            <w:shd w:val="clear" w:color="auto" w:fill="auto"/>
            <w:noWrap/>
            <w:vAlign w:val="center"/>
          </w:tcPr>
          <w:p>
            <w:pPr>
              <w:widowControl/>
              <w:jc w:val="right"/>
              <w:textAlignment w:val="center"/>
              <w:rPr>
                <w:rFonts w:ascii="宋体" w:cs="宋体"/>
                <w:color w:val="000000"/>
                <w:sz w:val="22"/>
              </w:rPr>
            </w:pPr>
            <w:r>
              <w:rPr>
                <w:rFonts w:ascii="宋体" w:eastAsia="方正仿宋_GBK" w:cs="方正仿宋_GBK" w:hAnsi="宋体" w:hint="eastAsia"/>
                <w:color w:val="000000"/>
                <w:kern w:val="0"/>
                <w:sz w:val="24"/>
                <w:szCs w:val="24"/>
              </w:rPr>
              <w:t>224974</w:t>
            </w:r>
          </w:p>
        </w:tc>
        <w:tc>
          <w:tcPr>
            <w:tcW w:w="2224" w:type="dxa"/>
            <w:gridSpan w:val="3"/>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224974</w:t>
            </w:r>
          </w:p>
        </w:tc>
        <w:tc>
          <w:tcPr>
            <w:tcW w:w="1404"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236"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836"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075" w:type="dxa"/>
            <w:gridSpan w:val="2"/>
            <w:tcBorders>
              <w:tl2br w:val="nil"/>
              <w:tr2bl w:val="nil"/>
            </w:tcBorders>
            <w:shd w:val="clear" w:color="auto" w:fill="auto"/>
            <w:noWrap/>
            <w:vAlign w:val="center"/>
          </w:tcPr>
          <w:p>
            <w:pPr>
              <w:widowControl/>
              <w:jc w:val="right"/>
              <w:textAlignment w:val="center"/>
              <w:rPr>
                <w:rFonts w:ascii="宋体" w:cs="宋体"/>
                <w:color w:val="000000"/>
                <w:sz w:val="22"/>
              </w:rPr>
            </w:pPr>
            <w:r>
              <w:rPr>
                <w:rFonts w:ascii="宋体" w:eastAsia="方正仿宋_GBK" w:cs="方正仿宋_GBK" w:hAnsi="宋体" w:hint="eastAsia"/>
                <w:color w:val="000000"/>
                <w:kern w:val="0"/>
                <w:sz w:val="24"/>
                <w:szCs w:val="24"/>
              </w:rPr>
              <w:t>224974</w:t>
            </w:r>
          </w:p>
        </w:tc>
        <w:tc>
          <w:tcPr>
            <w:tcW w:w="1046" w:type="dxa"/>
            <w:gridSpan w:val="2"/>
            <w:tcBorders>
              <w:tl2br w:val="nil"/>
              <w:tr2bl w:val="nil"/>
            </w:tcBorders>
            <w:shd w:val="clear" w:color="auto" w:fill="auto"/>
            <w:noWrap/>
            <w:vAlign w:val="center"/>
          </w:tcPr>
          <w:p>
            <w:pPr>
              <w:widowControl/>
              <w:jc w:val="right"/>
              <w:textAlignment w:val="center"/>
              <w:rPr>
                <w:rFonts w:ascii="宋体" w:cs="宋体"/>
                <w:color w:val="000000"/>
                <w:sz w:val="22"/>
              </w:rPr>
            </w:pPr>
            <w:r>
              <w:rPr>
                <w:rFonts w:ascii="宋体" w:eastAsia="方正仿宋_GBK" w:cs="方正仿宋_GBK" w:hAnsi="宋体" w:hint="eastAsia"/>
                <w:color w:val="000000"/>
                <w:kern w:val="0"/>
                <w:sz w:val="24"/>
                <w:szCs w:val="24"/>
              </w:rPr>
              <w:t>224974</w:t>
            </w:r>
          </w:p>
        </w:tc>
        <w:tc>
          <w:tcPr>
            <w:tcW w:w="2224" w:type="dxa"/>
            <w:gridSpan w:val="3"/>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224974</w:t>
            </w:r>
          </w:p>
        </w:tc>
        <w:tc>
          <w:tcPr>
            <w:tcW w:w="1404"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1236"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c>
          <w:tcPr>
            <w:tcW w:w="836"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469"/>
        </w:trPr>
        <w:tc>
          <w:tcPr>
            <w:tcW w:w="84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2881"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292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476" w:type="dxa"/>
            <w:gridSpan w:val="3"/>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120"/>
        </w:trPr>
        <w:tc>
          <w:tcPr>
            <w:tcW w:w="847" w:type="dxa"/>
            <w:vMerge/>
            <w:tcBorders>
              <w:tl2br w:val="nil"/>
              <w:tr2bl w:val="nil"/>
            </w:tcBorders>
            <w:noWrap/>
            <w:vAlign w:val="center"/>
          </w:tcPr>
          <w:p/>
        </w:tc>
        <w:tc>
          <w:tcPr>
            <w:tcW w:w="2881" w:type="dxa"/>
            <w:gridSpan w:val="5"/>
            <w:tcBorders>
              <w:tl2br w:val="nil"/>
              <w:tr2bl w:val="nil"/>
            </w:tcBorders>
            <w:noWrap/>
            <w:vAlign w:val="center"/>
          </w:tcPr>
          <w:p>
            <w:pPr>
              <w:widowControl/>
              <w:spacing w:line="3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1、推进城市管理精细化、执法规范化、服务人性化，进一步提升城市管理执法队伍形象，提高城市管理效率和水平，巩固“三创”成效，创建“干净整洁有序、山清水秀城美、宜居宜业宜游”的江津。   2、城市管理工作有序开展，创文工作有序进行，执法培训正常开展。推进城市管理精细化、执法规范化、服务人性化，进一步提升城市管理执法队伍形象，提高城市管理效率和水平，</w:t>
            </w:r>
          </w:p>
        </w:tc>
        <w:tc>
          <w:tcPr>
            <w:tcW w:w="2928" w:type="dxa"/>
            <w:gridSpan w:val="4"/>
            <w:tcBorders>
              <w:tl2br w:val="nil"/>
              <w:tr2bl w:val="nil"/>
            </w:tcBorders>
            <w:noWrap/>
            <w:vAlign w:val="center"/>
          </w:tcPr>
          <w:p>
            <w:pPr>
              <w:widowControl/>
              <w:spacing w:line="3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1、推进城市管理精细化、执法规范化、服务人性化，进一步提升城市管理执法队伍形象，提高城市管理效率和水平，巩固“三创”成效，创建“干净整洁有序、山清水秀城美、宜居宜业宜游”的江津。   2、城市管理工作有序开展，创文工作有序进行，执法培训正常开展。推进城市管理精细化、执法规范化、服务人性化，进一步提升城市管理执法队伍形象，提高城市管理效率和水平，</w:t>
            </w:r>
          </w:p>
        </w:tc>
        <w:tc>
          <w:tcPr>
            <w:tcW w:w="3476" w:type="dxa"/>
            <w:gridSpan w:val="3"/>
            <w:tcBorders>
              <w:tl2br w:val="nil"/>
              <w:tr2bl w:val="nil"/>
            </w:tcBorders>
            <w:noWrap/>
            <w:vAlign w:val="center"/>
          </w:tcPr>
          <w:p>
            <w:pPr>
              <w:widowControl/>
              <w:spacing w:line="3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1、推进城市管理精细化、执法规范化、服务人性化，进一步提升城市管理执法队伍形象，提高城市管理效率和水平，巩固“三创”成效，创建“干净整洁有序、山清水秀城美、宜居宜业宜游”的江津。   2、城市管理工作有序开展，创文工作有序进行，执法培训正常开展。推进城市管理精细化、执法规范化、服务人性化，进一步提升城市管理执法队伍形象，提高城市管理效率和水平，</w:t>
            </w:r>
          </w:p>
        </w:tc>
      </w:tr>
      <w:tr>
        <w:trPr>
          <w:trHeight w:val="469"/>
        </w:trPr>
        <w:tc>
          <w:tcPr>
            <w:tcW w:w="84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927"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537"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708" w:type="dxa"/>
            <w:gridSpan w:val="2"/>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857" w:type="dxa"/>
            <w:gridSpan w:val="2"/>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1255"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816"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404"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36"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36" w:type="dxa"/>
            <w:tcBorders>
              <w:tl2br w:val="nil"/>
              <w:tr2bl w:val="nil"/>
            </w:tcBorders>
            <w:noWrap/>
            <w:vAlign w:val="center"/>
          </w:tcPr>
          <w:p>
            <w:pPr>
              <w:widowControl/>
              <w:spacing w:line="28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408"/>
        </w:trPr>
        <w:tc>
          <w:tcPr>
            <w:tcW w:w="847" w:type="dxa"/>
            <w:vMerge/>
            <w:tcBorders>
              <w:tl2br w:val="nil"/>
              <w:tr2bl w:val="nil"/>
            </w:tcBorders>
            <w:noWrap/>
            <w:vAlign w:val="center"/>
          </w:tcPr>
          <w:p/>
        </w:tc>
        <w:tc>
          <w:tcPr>
            <w:tcW w:w="927" w:type="dxa"/>
            <w:tcBorders>
              <w:tl2br w:val="nil"/>
              <w:tr2bl w:val="nil"/>
            </w:tcBorders>
            <w:noWrap/>
            <w:vAlign w:val="center"/>
          </w:tcPr>
          <w:p>
            <w:pPr>
              <w:widowControl/>
              <w:spacing w:line="280" w:lineRule="exact"/>
              <w:ind w:firstLineChars="100" w:firstLine="220"/>
              <w:jc w:val="left"/>
              <w:textAlignment w:val="center"/>
              <w:rPr>
                <w:rFonts w:ascii="宋体" w:eastAsia="方正仿宋_GBK" w:cs="方正仿宋_GBK" w:hAnsi="宋体"/>
                <w:color w:val="000000"/>
                <w:kern w:val="0"/>
                <w:sz w:val="24"/>
                <w:szCs w:val="24"/>
              </w:rPr>
            </w:pPr>
            <w:r>
              <w:rPr>
                <w:rFonts w:ascii="宋体" w:cs="宋体" w:hint="eastAsia"/>
                <w:color w:val="000000"/>
                <w:kern w:val="0"/>
                <w:sz w:val="22"/>
              </w:rPr>
              <w:t>案件办结率</w:t>
            </w:r>
          </w:p>
        </w:tc>
        <w:tc>
          <w:tcPr>
            <w:tcW w:w="537"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9"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8"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90</w:t>
            </w:r>
          </w:p>
        </w:tc>
        <w:tc>
          <w:tcPr>
            <w:tcW w:w="857"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90</w:t>
            </w:r>
          </w:p>
        </w:tc>
        <w:tc>
          <w:tcPr>
            <w:tcW w:w="1255"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0</w:t>
            </w:r>
          </w:p>
        </w:tc>
        <w:tc>
          <w:tcPr>
            <w:tcW w:w="816"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100</w:t>
            </w:r>
          </w:p>
        </w:tc>
        <w:tc>
          <w:tcPr>
            <w:tcW w:w="1404"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20</w:t>
            </w:r>
          </w:p>
        </w:tc>
        <w:tc>
          <w:tcPr>
            <w:tcW w:w="12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c>
          <w:tcPr>
            <w:tcW w:w="8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r>
      <w:tr>
        <w:trPr>
          <w:trHeight w:val="976"/>
        </w:trPr>
        <w:tc>
          <w:tcPr>
            <w:tcW w:w="847" w:type="dxa"/>
            <w:vMerge/>
            <w:tcBorders>
              <w:tl2br w:val="nil"/>
              <w:tr2bl w:val="nil"/>
            </w:tcBorders>
            <w:noWrap/>
            <w:vAlign w:val="center"/>
          </w:tcPr>
          <w:p/>
        </w:tc>
        <w:tc>
          <w:tcPr>
            <w:tcW w:w="927" w:type="dxa"/>
            <w:tcBorders>
              <w:tl2br w:val="nil"/>
              <w:tr2bl w:val="nil"/>
            </w:tcBorders>
            <w:noWrap/>
            <w:vAlign w:val="center"/>
          </w:tcPr>
          <w:p>
            <w:pPr>
              <w:widowControl/>
              <w:spacing w:line="280" w:lineRule="exact"/>
              <w:ind w:firstLineChars="100" w:firstLine="220"/>
              <w:jc w:val="left"/>
              <w:textAlignment w:val="center"/>
              <w:rPr>
                <w:rFonts w:ascii="宋体" w:eastAsia="方正仿宋_GBK" w:cs="方正仿宋_GBK" w:hAnsi="宋体"/>
                <w:color w:val="000000"/>
                <w:kern w:val="0"/>
                <w:sz w:val="24"/>
                <w:szCs w:val="24"/>
              </w:rPr>
            </w:pPr>
            <w:r>
              <w:rPr>
                <w:rFonts w:ascii="宋体" w:cs="宋体" w:hint="eastAsia"/>
                <w:color w:val="000000"/>
                <w:kern w:val="0"/>
                <w:sz w:val="22"/>
              </w:rPr>
              <w:t>办结案件数量</w:t>
            </w:r>
          </w:p>
        </w:tc>
        <w:tc>
          <w:tcPr>
            <w:tcW w:w="537"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个</w:t>
            </w:r>
          </w:p>
        </w:tc>
        <w:tc>
          <w:tcPr>
            <w:tcW w:w="709"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8"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w:t>
            </w:r>
          </w:p>
        </w:tc>
        <w:tc>
          <w:tcPr>
            <w:tcW w:w="857"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w:t>
            </w:r>
          </w:p>
        </w:tc>
        <w:tc>
          <w:tcPr>
            <w:tcW w:w="1255"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0</w:t>
            </w:r>
          </w:p>
        </w:tc>
        <w:tc>
          <w:tcPr>
            <w:tcW w:w="816"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100</w:t>
            </w:r>
          </w:p>
        </w:tc>
        <w:tc>
          <w:tcPr>
            <w:tcW w:w="1404"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30</w:t>
            </w:r>
          </w:p>
        </w:tc>
        <w:tc>
          <w:tcPr>
            <w:tcW w:w="12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c>
          <w:tcPr>
            <w:tcW w:w="8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927" w:type="dxa"/>
            <w:tcBorders>
              <w:tl2br w:val="nil"/>
              <w:tr2bl w:val="nil"/>
            </w:tcBorders>
            <w:noWrap/>
            <w:vAlign w:val="center"/>
          </w:tcPr>
          <w:p>
            <w:pPr>
              <w:widowControl/>
              <w:spacing w:line="280" w:lineRule="exact"/>
              <w:ind w:firstLineChars="100" w:firstLine="220"/>
              <w:jc w:val="left"/>
              <w:textAlignment w:val="center"/>
              <w:rPr>
                <w:rFonts w:ascii="宋体" w:eastAsia="方正仿宋_GBK" w:cs="方正仿宋_GBK" w:hAnsi="宋体"/>
                <w:color w:val="000000"/>
                <w:kern w:val="0"/>
                <w:sz w:val="24"/>
                <w:szCs w:val="24"/>
              </w:rPr>
            </w:pPr>
            <w:r>
              <w:rPr>
                <w:rFonts w:ascii="宋体" w:cs="宋体" w:hint="eastAsia"/>
                <w:color w:val="000000"/>
                <w:kern w:val="0"/>
                <w:sz w:val="22"/>
              </w:rPr>
              <w:t>案件按时办结率</w:t>
            </w:r>
          </w:p>
        </w:tc>
        <w:tc>
          <w:tcPr>
            <w:tcW w:w="537"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9"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8"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95</w:t>
            </w:r>
          </w:p>
        </w:tc>
        <w:tc>
          <w:tcPr>
            <w:tcW w:w="857"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95</w:t>
            </w:r>
          </w:p>
        </w:tc>
        <w:tc>
          <w:tcPr>
            <w:tcW w:w="1255"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0</w:t>
            </w:r>
          </w:p>
        </w:tc>
        <w:tc>
          <w:tcPr>
            <w:tcW w:w="816"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100</w:t>
            </w:r>
          </w:p>
        </w:tc>
        <w:tc>
          <w:tcPr>
            <w:tcW w:w="1404"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w:t>
            </w:r>
          </w:p>
        </w:tc>
        <w:tc>
          <w:tcPr>
            <w:tcW w:w="12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c>
          <w:tcPr>
            <w:tcW w:w="8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927" w:type="dxa"/>
            <w:tcBorders>
              <w:tl2br w:val="nil"/>
              <w:tr2bl w:val="nil"/>
            </w:tcBorders>
            <w:noWrap/>
            <w:vAlign w:val="center"/>
          </w:tcPr>
          <w:p>
            <w:pPr>
              <w:widowControl/>
              <w:spacing w:line="280" w:lineRule="exact"/>
              <w:ind w:firstLineChars="100" w:firstLine="220"/>
              <w:jc w:val="left"/>
              <w:textAlignment w:val="center"/>
              <w:rPr>
                <w:rFonts w:ascii="宋体" w:eastAsia="方正仿宋_GBK" w:cs="方正仿宋_GBK" w:hAnsi="宋体"/>
                <w:color w:val="000000"/>
                <w:kern w:val="0"/>
                <w:sz w:val="24"/>
                <w:szCs w:val="24"/>
              </w:rPr>
            </w:pPr>
            <w:r>
              <w:rPr>
                <w:rFonts w:ascii="宋体" w:cs="宋体" w:hint="eastAsia"/>
                <w:color w:val="000000"/>
                <w:kern w:val="0"/>
                <w:sz w:val="22"/>
              </w:rPr>
              <w:t>执法规范化</w:t>
            </w:r>
          </w:p>
        </w:tc>
        <w:tc>
          <w:tcPr>
            <w:tcW w:w="537" w:type="dxa"/>
            <w:tcBorders>
              <w:tl2br w:val="nil"/>
              <w:tr2bl w:val="nil"/>
            </w:tcBorders>
            <w:noWrap/>
            <w:vAlign w:val="center"/>
          </w:tcPr>
          <w:p>
            <w:pPr>
              <w:widowControl/>
              <w:spacing w:line="280" w:lineRule="exact"/>
              <w:jc w:val="left"/>
              <w:rPr>
                <w:rFonts w:ascii="宋体" w:eastAsia="方正仿宋_GBK" w:cs="方正仿宋_GBK" w:hAnsi="宋体"/>
                <w:color w:val="000000"/>
                <w:kern w:val="0"/>
                <w:sz w:val="24"/>
                <w:szCs w:val="24"/>
              </w:rPr>
            </w:pPr>
          </w:p>
        </w:tc>
        <w:tc>
          <w:tcPr>
            <w:tcW w:w="709"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定性</w:t>
            </w:r>
          </w:p>
        </w:tc>
        <w:tc>
          <w:tcPr>
            <w:tcW w:w="708"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是</w:t>
            </w:r>
          </w:p>
        </w:tc>
        <w:tc>
          <w:tcPr>
            <w:tcW w:w="857"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w:t>
            </w:r>
          </w:p>
        </w:tc>
        <w:tc>
          <w:tcPr>
            <w:tcW w:w="1255"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0</w:t>
            </w:r>
          </w:p>
        </w:tc>
        <w:tc>
          <w:tcPr>
            <w:tcW w:w="816"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100</w:t>
            </w:r>
          </w:p>
        </w:tc>
        <w:tc>
          <w:tcPr>
            <w:tcW w:w="1404"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20</w:t>
            </w:r>
          </w:p>
        </w:tc>
        <w:tc>
          <w:tcPr>
            <w:tcW w:w="12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c>
          <w:tcPr>
            <w:tcW w:w="8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r>
      <w:tr>
        <w:trPr>
          <w:trHeight w:val="408"/>
        </w:trPr>
        <w:tc>
          <w:tcPr>
            <w:tcW w:w="847" w:type="dxa"/>
            <w:vMerge/>
            <w:tcBorders>
              <w:tl2br w:val="nil"/>
              <w:tr2bl w:val="nil"/>
            </w:tcBorders>
            <w:noWrap/>
            <w:vAlign w:val="center"/>
          </w:tcPr>
          <w:p/>
        </w:tc>
        <w:tc>
          <w:tcPr>
            <w:tcW w:w="927" w:type="dxa"/>
            <w:tcBorders>
              <w:tl2br w:val="nil"/>
              <w:tr2bl w:val="nil"/>
            </w:tcBorders>
            <w:noWrap/>
            <w:vAlign w:val="center"/>
          </w:tcPr>
          <w:p>
            <w:pPr>
              <w:widowControl/>
              <w:spacing w:line="280" w:lineRule="exact"/>
              <w:ind w:firstLineChars="100" w:firstLine="220"/>
              <w:jc w:val="left"/>
              <w:textAlignment w:val="center"/>
              <w:rPr>
                <w:rFonts w:ascii="宋体" w:eastAsia="方正仿宋_GBK" w:cs="方正仿宋_GBK" w:hAnsi="宋体"/>
                <w:color w:val="000000"/>
                <w:kern w:val="0"/>
                <w:sz w:val="24"/>
                <w:szCs w:val="24"/>
              </w:rPr>
            </w:pPr>
            <w:r>
              <w:rPr>
                <w:rFonts w:ascii="宋体" w:cs="宋体" w:hint="eastAsia"/>
                <w:color w:val="000000"/>
                <w:kern w:val="0"/>
                <w:sz w:val="22"/>
              </w:rPr>
              <w:t>案件办理满意率</w:t>
            </w:r>
          </w:p>
        </w:tc>
        <w:tc>
          <w:tcPr>
            <w:tcW w:w="537"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9" w:type="dxa"/>
            <w:tcBorders>
              <w:tl2br w:val="nil"/>
              <w:tr2bl w:val="nil"/>
            </w:tcBorders>
            <w:noWrap/>
            <w:vAlign w:val="center"/>
          </w:tcPr>
          <w:p>
            <w:pPr>
              <w:widowControl/>
              <w:spacing w:line="280" w:lineRule="exact"/>
              <w:ind w:firstLineChars="100" w:firstLine="220"/>
              <w:jc w:val="left"/>
              <w:rPr>
                <w:rFonts w:ascii="宋体" w:eastAsia="方正仿宋_GBK" w:cs="方正仿宋_GBK" w:hAnsi="宋体"/>
                <w:color w:val="000000"/>
                <w:kern w:val="0"/>
                <w:sz w:val="24"/>
                <w:szCs w:val="24"/>
              </w:rPr>
            </w:pPr>
            <w:r>
              <w:rPr>
                <w:rFonts w:ascii="宋体" w:cs="宋体" w:hint="eastAsia"/>
                <w:color w:val="000000"/>
                <w:kern w:val="0"/>
                <w:sz w:val="22"/>
              </w:rPr>
              <w:t>≥</w:t>
            </w:r>
          </w:p>
        </w:tc>
        <w:tc>
          <w:tcPr>
            <w:tcW w:w="708"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90</w:t>
            </w:r>
          </w:p>
        </w:tc>
        <w:tc>
          <w:tcPr>
            <w:tcW w:w="857" w:type="dxa"/>
            <w:gridSpan w:val="2"/>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91</w:t>
            </w:r>
          </w:p>
        </w:tc>
        <w:tc>
          <w:tcPr>
            <w:tcW w:w="1255"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1.11</w:t>
            </w:r>
          </w:p>
        </w:tc>
        <w:tc>
          <w:tcPr>
            <w:tcW w:w="816"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100</w:t>
            </w:r>
          </w:p>
        </w:tc>
        <w:tc>
          <w:tcPr>
            <w:tcW w:w="1404" w:type="dxa"/>
            <w:tcBorders>
              <w:tl2br w:val="nil"/>
              <w:tr2bl w:val="nil"/>
            </w:tcBorders>
            <w:noWrap/>
            <w:vAlign w:val="center"/>
          </w:tcPr>
          <w:p>
            <w:pPr>
              <w:widowControl/>
              <w:spacing w:line="280" w:lineRule="exact"/>
              <w:ind w:firstLineChars="100" w:firstLine="220"/>
              <w:jc w:val="right"/>
              <w:rPr>
                <w:rFonts w:ascii="宋体" w:eastAsia="方正仿宋_GBK" w:cs="方正仿宋_GBK" w:hAnsi="宋体"/>
                <w:color w:val="000000"/>
                <w:kern w:val="0"/>
                <w:sz w:val="24"/>
                <w:szCs w:val="24"/>
              </w:rPr>
            </w:pPr>
            <w:r>
              <w:rPr>
                <w:rFonts w:ascii="宋体" w:cs="宋体" w:hint="eastAsia"/>
                <w:color w:val="000000"/>
                <w:kern w:val="0"/>
                <w:sz w:val="22"/>
              </w:rPr>
              <w:t>10</w:t>
            </w:r>
          </w:p>
        </w:tc>
        <w:tc>
          <w:tcPr>
            <w:tcW w:w="12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c>
          <w:tcPr>
            <w:tcW w:w="836" w:type="dxa"/>
            <w:tcBorders>
              <w:tl2br w:val="nil"/>
              <w:tr2bl w:val="nil"/>
            </w:tcBorders>
            <w:noWrap/>
            <w:vAlign w:val="center"/>
          </w:tcPr>
          <w:p>
            <w:pPr>
              <w:widowControl/>
              <w:spacing w:line="280" w:lineRule="exact"/>
              <w:rPr>
                <w:rFonts w:ascii="宋体" w:eastAsia="方正仿宋_GBK" w:cs="方正仿宋_GBK" w:hAnsi="宋体"/>
                <w:color w:val="000000"/>
                <w:kern w:val="0"/>
                <w:sz w:val="24"/>
                <w:szCs w:val="24"/>
              </w:rPr>
            </w:pPr>
          </w:p>
        </w:tc>
      </w:tr>
    </w:tbl>
    <w:p>
      <w:pPr>
        <w:pStyle w:val="20"/>
        <w:tabs>
          <w:tab w:val="center" w:pos="4153"/>
          <w:tab w:val="left" w:pos="7275"/>
        </w:tabs>
        <w:spacing w:line="579" w:lineRule="exact"/>
        <w:ind w:firstLineChars="0" w:firstLine="0"/>
        <w:rPr>
          <w:rFonts w:ascii="宋体" w:eastAsia="方正仿宋_GBK" w:cs="方正仿宋_GBK" w:hAnsi="宋体"/>
          <w:color w:val="000000"/>
          <w:kern w:val="0"/>
          <w:sz w:val="36"/>
          <w:szCs w:val="36"/>
        </w:rPr>
      </w:pPr>
    </w:p>
    <w:p>
      <w:pPr>
        <w:pStyle w:val="20"/>
        <w:numPr>
          <w:ilvl w:val="0"/>
          <w:numId w:val="6"/>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6"/>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我单位对预算项目均完成年度绩效目标自评。</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（十一）对个人和家庭的补助（支出经济分类科目类级）：反映用于对个人和家庭的补助支出。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2">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3">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4">
    <w:nsid w:val="25ADF0D8"/>
    <w:multiLevelType w:val="singleLevel"/>
    <w:tmpl w:val="25ADF0D8"/>
    <w:lvl w:ilvl="0">
      <w:start w:val="1"/>
      <w:numFmt w:val="decimal"/>
      <w:lvlRestart w:val="0"/>
      <w:suff w:val="nothing"/>
      <w:lvlText w:val="（%1）"/>
      <w:lvlJc w:val="left"/>
      <w:pPr>
        <w:tabs>
          <w:tab w:val="num" w:pos="0"/>
        </w:tabs>
        <w:ind w:left="0" w:hanging="0"/>
      </w:pPr>
    </w:lvl>
  </w:abstractNum>
  <w:abstractNum w:abstractNumId="5">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6">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4"/>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Application>
  <Pages>11</Pages>
  <Words>5432</Words>
  <Characters>6081</Characters>
  <Lines>410</Lines>
  <Paragraphs>189</Paragraphs>
  <CharactersWithSpaces>6102</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14</cp:revision>
  <cp:lastPrinted>2023-08-10T09:16:00Z</cp:lastPrinted>
  <dcterms:created xsi:type="dcterms:W3CDTF">2021-07-06T14:32:00Z</dcterms:created>
  <dcterms:modified xsi:type="dcterms:W3CDTF">2025-08-22T07:09:14Z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y fmtid="{D5CDD505-2E9C-101B-9397-08002B2CF9AE}" pid="4" name="KSOTemplateDocerSaveRecord">
    <vt:lpwstr>eyJoZGlkIjoiMjY2OWUyMGE4NWVhNWE2Njg4NzVlOWE2NjJiYzE0MWYiLCJ1c2VySWQiOiIzMTk4NzYyMTYifQ==</vt:lpwstr>
  </property>
</Properties>
</file>