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56" w:rsidRDefault="00B66C29">
      <w:pPr>
        <w:spacing w:line="579" w:lineRule="exact"/>
        <w:rPr>
          <w:rFonts w:ascii="宋体" w:eastAsia="方正仿宋_GBK" w:hAnsi="宋体" w:cs="方正仿宋_GBK"/>
          <w:sz w:val="24"/>
          <w:szCs w:val="24"/>
        </w:rPr>
      </w:pPr>
      <w:r>
        <w:rPr>
          <w:rFonts w:ascii="宋体" w:eastAsia="方正仿宋_GBK" w:hAnsi="宋体" w:cs="方正仿宋_GBK" w:hint="eastAsia"/>
          <w:sz w:val="24"/>
          <w:szCs w:val="24"/>
        </w:rPr>
        <w:t>附件</w:t>
      </w:r>
      <w:r>
        <w:rPr>
          <w:rFonts w:ascii="宋体" w:eastAsia="方正仿宋_GBK" w:hAnsi="宋体" w:cs="方正仿宋_GBK" w:hint="eastAsia"/>
          <w:sz w:val="24"/>
          <w:szCs w:val="24"/>
        </w:rPr>
        <w:t>3</w:t>
      </w:r>
      <w:r>
        <w:rPr>
          <w:rFonts w:ascii="宋体" w:eastAsia="方正仿宋_GBK" w:hAnsi="宋体" w:cs="方正仿宋_GBK" w:hint="eastAsia"/>
          <w:sz w:val="24"/>
          <w:szCs w:val="24"/>
        </w:rPr>
        <w:t>：</w:t>
      </w:r>
    </w:p>
    <w:p w:rsidR="002C2456" w:rsidRDefault="002C2456">
      <w:pPr>
        <w:spacing w:line="579" w:lineRule="exact"/>
        <w:rPr>
          <w:rFonts w:ascii="宋体" w:eastAsia="方正仿宋_GBK" w:hAnsi="宋体" w:cs="方正仿宋_GBK"/>
          <w:sz w:val="44"/>
          <w:szCs w:val="44"/>
        </w:rPr>
      </w:pPr>
    </w:p>
    <w:p w:rsidR="002C2456" w:rsidRDefault="00B66C29">
      <w:pPr>
        <w:spacing w:line="579" w:lineRule="exact"/>
        <w:ind w:firstLineChars="250" w:firstLine="1100"/>
        <w:jc w:val="center"/>
        <w:rPr>
          <w:rFonts w:eastAsia="方正小标宋_GBK"/>
          <w:sz w:val="44"/>
          <w:szCs w:val="44"/>
        </w:rPr>
      </w:pPr>
      <w:r>
        <w:rPr>
          <w:rFonts w:eastAsia="方正小标宋_GBK"/>
          <w:sz w:val="44"/>
          <w:szCs w:val="44"/>
        </w:rPr>
        <w:t>重庆市江津区供水管理站</w:t>
      </w:r>
    </w:p>
    <w:p w:rsidR="002C2456" w:rsidRDefault="00B66C29">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年度决算公开说明</w:t>
      </w:r>
    </w:p>
    <w:p w:rsidR="002C2456" w:rsidRDefault="002C2456">
      <w:pPr>
        <w:spacing w:line="579" w:lineRule="exact"/>
        <w:ind w:firstLineChars="250" w:firstLine="1100"/>
        <w:rPr>
          <w:rFonts w:ascii="宋体" w:eastAsia="方正仿宋_GBK" w:hAnsi="宋体" w:cs="方正仿宋_GBK"/>
          <w:sz w:val="44"/>
          <w:szCs w:val="44"/>
        </w:rPr>
      </w:pPr>
    </w:p>
    <w:p w:rsidR="002C2456" w:rsidRDefault="00B66C29">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2C2456" w:rsidRDefault="00B66C29">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2C2456" w:rsidRDefault="00B66C29">
      <w:pPr>
        <w:spacing w:line="579" w:lineRule="exact"/>
        <w:ind w:firstLineChars="200" w:firstLine="640"/>
        <w:outlineLvl w:val="1"/>
        <w:rPr>
          <w:rFonts w:eastAsia="方正仿宋_GBK"/>
          <w:sz w:val="32"/>
        </w:rPr>
      </w:pPr>
      <w:r>
        <w:rPr>
          <w:rFonts w:eastAsia="方正仿宋_GBK"/>
          <w:sz w:val="32"/>
        </w:rPr>
        <w:t>宣传城市供水、节水管理法规、规章并提供咨询服务；为城镇供水企业提供业务指导；承担城市二次供水相关服务工作；开展城镇供水企业日常检查；做好城镇供水信访稳定工作，接受和处理市民对供水水质和服务的投诉；承担节水技术、节水型器具、设备的推广和运用工作；做好城市节水宣传，积极开展节水型企业、节水型社区、节水型单位的创建工作；承办行政主管部门交办的其他任务。</w:t>
      </w:r>
    </w:p>
    <w:p w:rsidR="002C2456" w:rsidRDefault="00B66C29">
      <w:pPr>
        <w:spacing w:line="579" w:lineRule="exact"/>
        <w:ind w:firstLineChars="200" w:firstLine="640"/>
        <w:outlineLvl w:val="1"/>
        <w:rPr>
          <w:rFonts w:ascii="宋体" w:eastAsia="方正楷体_GBK" w:hAnsi="宋体" w:cs="方正楷体_GBK"/>
          <w:kern w:val="0"/>
          <w:sz w:val="32"/>
          <w:szCs w:val="32"/>
        </w:rPr>
      </w:pPr>
      <w:r>
        <w:rPr>
          <w:rFonts w:eastAsia="方正仿宋_GBK" w:hint="eastAsia"/>
          <w:sz w:val="32"/>
        </w:rPr>
        <w:t>（二）</w:t>
      </w:r>
      <w:r>
        <w:rPr>
          <w:rFonts w:ascii="宋体" w:eastAsia="方正楷体_GBK" w:hAnsi="宋体" w:cs="方正楷体_GBK" w:hint="eastAsia"/>
          <w:kern w:val="0"/>
          <w:sz w:val="32"/>
          <w:szCs w:val="32"/>
        </w:rPr>
        <w:t>机构设置</w:t>
      </w:r>
    </w:p>
    <w:p w:rsidR="002C2456" w:rsidRDefault="00B66C29">
      <w:pPr>
        <w:adjustRightInd w:val="0"/>
        <w:spacing w:line="579" w:lineRule="exact"/>
        <w:ind w:firstLineChars="200" w:firstLine="640"/>
        <w:jc w:val="left"/>
        <w:textAlignment w:val="top"/>
        <w:rPr>
          <w:rFonts w:ascii="宋体" w:eastAsia="方正仿宋_GBK" w:hAnsi="宋体" w:cs="方正仿宋_GBK"/>
          <w:kern w:val="0"/>
          <w:sz w:val="32"/>
          <w:szCs w:val="32"/>
        </w:rPr>
      </w:pPr>
      <w:r>
        <w:rPr>
          <w:rFonts w:eastAsia="方正仿宋_GBK"/>
          <w:sz w:val="32"/>
        </w:rPr>
        <w:t>重庆市江津区供水管理站为</w:t>
      </w:r>
      <w:r>
        <w:rPr>
          <w:rFonts w:eastAsia="方正仿宋_GBK"/>
          <w:snapToGrid w:val="0"/>
          <w:sz w:val="32"/>
        </w:rPr>
        <w:t>重庆市江津区城市管理局</w:t>
      </w:r>
      <w:r>
        <w:rPr>
          <w:rFonts w:eastAsia="方正仿宋_GBK"/>
          <w:sz w:val="32"/>
        </w:rPr>
        <w:t>所属正科级全额拨款事业单位。重庆市江津区供水管理站为公益一类事业单位。</w:t>
      </w:r>
      <w:r>
        <w:rPr>
          <w:rFonts w:eastAsia="方正仿宋_GBK"/>
          <w:color w:val="000000"/>
          <w:sz w:val="32"/>
          <w:szCs w:val="32"/>
        </w:rPr>
        <w:t>核定参公编制</w:t>
      </w:r>
      <w:r>
        <w:rPr>
          <w:rFonts w:eastAsia="方正仿宋_GBK"/>
          <w:color w:val="000000"/>
          <w:sz w:val="32"/>
          <w:szCs w:val="32"/>
        </w:rPr>
        <w:t>5</w:t>
      </w:r>
      <w:r>
        <w:rPr>
          <w:rFonts w:eastAsia="方正仿宋_GBK"/>
          <w:color w:val="000000"/>
          <w:sz w:val="32"/>
          <w:szCs w:val="32"/>
        </w:rPr>
        <w:t>名，实有在职职工</w:t>
      </w:r>
      <w:r>
        <w:rPr>
          <w:rFonts w:eastAsia="方正仿宋_GBK"/>
          <w:color w:val="000000"/>
          <w:sz w:val="32"/>
          <w:szCs w:val="32"/>
        </w:rPr>
        <w:t>4</w:t>
      </w:r>
      <w:r>
        <w:rPr>
          <w:rFonts w:eastAsia="方正仿宋_GBK"/>
          <w:color w:val="000000"/>
          <w:sz w:val="32"/>
          <w:szCs w:val="32"/>
        </w:rPr>
        <w:t>人。</w:t>
      </w:r>
    </w:p>
    <w:p w:rsidR="002C2456" w:rsidRDefault="00B66C29">
      <w:pPr>
        <w:numPr>
          <w:ilvl w:val="0"/>
          <w:numId w:val="1"/>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部门决算情况</w:t>
      </w:r>
    </w:p>
    <w:p w:rsidR="002C2456" w:rsidRDefault="00B66C29">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2C2456" w:rsidRDefault="00B66C29">
      <w:pPr>
        <w:numPr>
          <w:ilvl w:val="0"/>
          <w:numId w:val="3"/>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sidR="00736045">
        <w:rPr>
          <w:rFonts w:ascii="方正仿宋_GBK" w:eastAsia="方正仿宋_GBK" w:hAnsi="方正仿宋_GBK" w:cs="方正仿宋_GBK"/>
          <w:sz w:val="32"/>
          <w:szCs w:val="32"/>
          <w:shd w:val="clear" w:color="auto" w:fill="FFFFFF"/>
        </w:rPr>
        <w:t>237.24</w:t>
      </w:r>
      <w:r>
        <w:rPr>
          <w:rFonts w:ascii="宋体" w:eastAsia="方正仿宋_GBK" w:hAnsi="宋体" w:cs="方正仿宋_GBK" w:hint="eastAsia"/>
          <w:sz w:val="32"/>
          <w:szCs w:val="32"/>
        </w:rPr>
        <w:t>万元，支出总计</w:t>
      </w:r>
      <w:r w:rsidR="00736045">
        <w:rPr>
          <w:rFonts w:ascii="方正仿宋_GBK" w:eastAsia="方正仿宋_GBK" w:hAnsi="方正仿宋_GBK" w:cs="方正仿宋_GBK"/>
          <w:sz w:val="32"/>
          <w:szCs w:val="32"/>
          <w:shd w:val="clear" w:color="auto" w:fill="FFFFFF"/>
        </w:rPr>
        <w:t>237.24</w:t>
      </w:r>
      <w:r>
        <w:rPr>
          <w:rFonts w:ascii="宋体" w:eastAsia="方正仿宋_GBK" w:hAnsi="宋体" w:cs="方正仿宋_GBK" w:hint="eastAsia"/>
          <w:sz w:val="32"/>
          <w:szCs w:val="32"/>
        </w:rPr>
        <w:t>万元。收支较上年增加</w:t>
      </w:r>
      <w:r w:rsidR="00736045">
        <w:rPr>
          <w:rFonts w:ascii="宋体" w:eastAsia="方正仿宋_GBK" w:hAnsi="宋体" w:cs="方正仿宋_GBK" w:hint="eastAsia"/>
          <w:sz w:val="32"/>
          <w:szCs w:val="32"/>
        </w:rPr>
        <w:t>2.88</w:t>
      </w:r>
      <w:r>
        <w:rPr>
          <w:rFonts w:ascii="宋体" w:eastAsia="方正仿宋_GBK" w:hAnsi="宋体" w:cs="方正仿宋_GBK" w:hint="eastAsia"/>
          <w:sz w:val="32"/>
          <w:szCs w:val="32"/>
        </w:rPr>
        <w:t>万元，增长</w:t>
      </w:r>
      <w:r w:rsidR="00736045">
        <w:rPr>
          <w:rFonts w:ascii="宋体" w:eastAsia="方正仿宋_GBK" w:hAnsi="宋体" w:cs="方正仿宋_GBK" w:hint="eastAsia"/>
          <w:sz w:val="32"/>
          <w:szCs w:val="32"/>
        </w:rPr>
        <w:t>1.2</w:t>
      </w:r>
      <w:r>
        <w:rPr>
          <w:rFonts w:ascii="宋体" w:eastAsia="方正仿宋_GBK" w:hAnsi="宋体" w:cs="方正仿宋_GBK" w:hint="eastAsia"/>
          <w:sz w:val="32"/>
          <w:szCs w:val="32"/>
        </w:rPr>
        <w:t>%</w:t>
      </w:r>
      <w:r>
        <w:rPr>
          <w:rFonts w:ascii="宋体" w:eastAsia="方正仿宋_GBK" w:hAnsi="宋体" w:cs="方正仿宋_GBK" w:hint="eastAsia"/>
          <w:sz w:val="32"/>
          <w:szCs w:val="32"/>
        </w:rPr>
        <w:t>，主要是因人员晋职晋级及政策性工资调标导致基本支出人员经费</w:t>
      </w:r>
      <w:r>
        <w:rPr>
          <w:rFonts w:ascii="宋体" w:eastAsia="方正仿宋_GBK" w:hAnsi="宋体" w:cs="方正仿宋_GBK" w:hint="eastAsia"/>
          <w:sz w:val="32"/>
          <w:szCs w:val="32"/>
        </w:rPr>
        <w:lastRenderedPageBreak/>
        <w:t>增加。</w:t>
      </w:r>
    </w:p>
    <w:p w:rsidR="002C2456" w:rsidRDefault="00B66C29">
      <w:pPr>
        <w:numPr>
          <w:ilvl w:val="0"/>
          <w:numId w:val="3"/>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年度本年收入合计</w:t>
      </w:r>
      <w:r>
        <w:rPr>
          <w:rFonts w:ascii="宋体" w:eastAsia="方正仿宋_GBK" w:hAnsi="宋体" w:cs="方正仿宋_GBK" w:hint="eastAsia"/>
          <w:sz w:val="32"/>
          <w:szCs w:val="32"/>
        </w:rPr>
        <w:t>190.07</w:t>
      </w:r>
      <w:r>
        <w:rPr>
          <w:rFonts w:ascii="宋体" w:eastAsia="方正仿宋_GBK" w:hAnsi="宋体" w:cs="方正仿宋_GBK" w:hint="eastAsia"/>
          <w:sz w:val="32"/>
          <w:szCs w:val="32"/>
        </w:rPr>
        <w:t>万元，较上年增加</w:t>
      </w:r>
      <w:r>
        <w:rPr>
          <w:rFonts w:ascii="宋体" w:eastAsia="方正仿宋_GBK" w:hAnsi="宋体" w:cs="方正仿宋_GBK" w:hint="eastAsia"/>
          <w:sz w:val="32"/>
          <w:szCs w:val="32"/>
        </w:rPr>
        <w:t>2.89</w:t>
      </w:r>
      <w:r>
        <w:rPr>
          <w:rFonts w:ascii="宋体" w:eastAsia="方正仿宋_GBK" w:hAnsi="宋体" w:cs="方正仿宋_GBK" w:hint="eastAsia"/>
          <w:sz w:val="32"/>
          <w:szCs w:val="32"/>
        </w:rPr>
        <w:t>万元，增长</w:t>
      </w:r>
      <w:r>
        <w:rPr>
          <w:rFonts w:ascii="宋体" w:eastAsia="方正仿宋_GBK" w:hAnsi="宋体" w:cs="方正仿宋_GBK" w:hint="eastAsia"/>
          <w:sz w:val="32"/>
          <w:szCs w:val="32"/>
        </w:rPr>
        <w:t>1.5%</w:t>
      </w:r>
      <w:r>
        <w:rPr>
          <w:rFonts w:ascii="宋体" w:eastAsia="方正仿宋_GBK" w:hAnsi="宋体" w:cs="方正仿宋_GBK" w:hint="eastAsia"/>
          <w:sz w:val="32"/>
          <w:szCs w:val="32"/>
        </w:rPr>
        <w:t>，主要是因人员晋职晋级及政策性工资调标导致基本支出人员经费增加。其中：财政拨款收入</w:t>
      </w:r>
      <w:r>
        <w:rPr>
          <w:rFonts w:ascii="宋体" w:eastAsia="方正仿宋_GBK" w:hAnsi="宋体" w:cs="方正仿宋_GBK" w:hint="eastAsia"/>
          <w:sz w:val="32"/>
          <w:szCs w:val="32"/>
        </w:rPr>
        <w:t>190.07</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；事业收入</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万元；其他收入</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hint="eastAsia"/>
          <w:sz w:val="32"/>
          <w:szCs w:val="32"/>
        </w:rPr>
        <w:t>42.08</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hint="eastAsia"/>
          <w:sz w:val="32"/>
          <w:szCs w:val="32"/>
          <w:shd w:val="clear" w:color="auto" w:fill="FFFFFF"/>
        </w:rPr>
        <w:t>47.18</w:t>
      </w:r>
      <w:r>
        <w:rPr>
          <w:rFonts w:ascii="方正仿宋_GBK" w:eastAsia="方正仿宋_GBK" w:hAnsi="方正仿宋_GBK" w:cs="方正仿宋_GBK"/>
          <w:sz w:val="32"/>
          <w:szCs w:val="32"/>
          <w:shd w:val="clear" w:color="auto" w:fill="FFFFFF"/>
        </w:rPr>
        <w:t>万元。</w:t>
      </w:r>
    </w:p>
    <w:p w:rsidR="002C2456" w:rsidRDefault="00B66C29">
      <w:pPr>
        <w:numPr>
          <w:ilvl w:val="0"/>
          <w:numId w:val="3"/>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年度本年支出合计</w:t>
      </w:r>
      <w:r>
        <w:rPr>
          <w:rFonts w:ascii="宋体" w:eastAsia="方正仿宋_GBK" w:hAnsi="宋体" w:cs="方正仿宋_GBK" w:hint="eastAsia"/>
          <w:sz w:val="32"/>
          <w:szCs w:val="32"/>
        </w:rPr>
        <w:t>232.14</w:t>
      </w:r>
      <w:r>
        <w:rPr>
          <w:rFonts w:ascii="宋体" w:eastAsia="方正仿宋_GBK" w:hAnsi="宋体" w:cs="方正仿宋_GBK" w:hint="eastAsia"/>
          <w:sz w:val="32"/>
          <w:szCs w:val="32"/>
        </w:rPr>
        <w:t>万元，</w:t>
      </w:r>
      <w:r>
        <w:rPr>
          <w:rFonts w:ascii="宋体" w:eastAsia="方正仿宋_GBK" w:hAnsi="宋体" w:cs="方正仿宋_GBK" w:hint="eastAsia"/>
          <w:sz w:val="32"/>
        </w:rPr>
        <w:t>较上年增加</w:t>
      </w:r>
      <w:r>
        <w:rPr>
          <w:rFonts w:ascii="宋体" w:eastAsia="方正仿宋_GBK" w:hAnsi="宋体" w:cs="方正仿宋_GBK" w:hint="eastAsia"/>
          <w:sz w:val="32"/>
        </w:rPr>
        <w:t>44.96</w:t>
      </w:r>
      <w:r>
        <w:rPr>
          <w:rFonts w:ascii="宋体" w:eastAsia="方正仿宋_GBK" w:hAnsi="宋体" w:cs="方正仿宋_GBK" w:hint="eastAsia"/>
          <w:sz w:val="32"/>
        </w:rPr>
        <w:t>万元，</w:t>
      </w:r>
      <w:r>
        <w:rPr>
          <w:rFonts w:ascii="宋体" w:eastAsia="方正仿宋_GBK" w:hAnsi="宋体" w:cs="方正仿宋_GBK" w:hint="eastAsia"/>
          <w:sz w:val="32"/>
          <w:szCs w:val="32"/>
        </w:rPr>
        <w:t>增长</w:t>
      </w:r>
      <w:r w:rsidR="00736045">
        <w:rPr>
          <w:rFonts w:ascii="方正仿宋_GBK" w:eastAsia="方正仿宋_GBK" w:hAnsi="方正仿宋_GBK" w:cs="方正仿宋_GBK"/>
          <w:sz w:val="32"/>
          <w:szCs w:val="32"/>
          <w:shd w:val="clear" w:color="auto" w:fill="FFFFFF"/>
        </w:rPr>
        <w:t>24.0%</w:t>
      </w:r>
      <w:r>
        <w:rPr>
          <w:rFonts w:ascii="宋体" w:eastAsia="方正仿宋_GBK" w:hAnsi="宋体" w:cs="方正仿宋_GBK" w:hint="eastAsia"/>
          <w:sz w:val="32"/>
          <w:szCs w:val="32"/>
        </w:rPr>
        <w:t>，</w:t>
      </w:r>
      <w:r>
        <w:rPr>
          <w:rFonts w:ascii="宋体" w:eastAsia="方正仿宋_GBK" w:hAnsi="宋体" w:cs="方正仿宋_GBK" w:hint="eastAsia"/>
          <w:sz w:val="32"/>
        </w:rPr>
        <w:t>主要原因为</w:t>
      </w:r>
      <w:r>
        <w:rPr>
          <w:rFonts w:ascii="宋体" w:eastAsia="方正仿宋_GBK" w:hAnsi="宋体" w:cs="方正仿宋_GBK" w:hint="eastAsia"/>
          <w:sz w:val="32"/>
          <w:szCs w:val="32"/>
        </w:rPr>
        <w:t>人员晋职晋级及政策性工资调标导致基本支出人员经费增加</w:t>
      </w:r>
      <w:r>
        <w:rPr>
          <w:rFonts w:ascii="宋体" w:eastAsia="方正仿宋_GBK" w:hAnsi="宋体" w:cs="方正仿宋_GBK" w:hint="eastAsia"/>
          <w:sz w:val="32"/>
        </w:rPr>
        <w:t>。</w:t>
      </w:r>
      <w:r>
        <w:rPr>
          <w:rFonts w:ascii="宋体" w:eastAsia="方正仿宋_GBK" w:hAnsi="宋体" w:cs="方正仿宋_GBK" w:hint="eastAsia"/>
          <w:sz w:val="32"/>
          <w:szCs w:val="32"/>
        </w:rPr>
        <w:t>其中：基本支出</w:t>
      </w:r>
      <w:r>
        <w:rPr>
          <w:rFonts w:ascii="宋体" w:eastAsia="方正仿宋_GBK" w:hAnsi="宋体" w:cs="方正仿宋_GBK" w:hint="eastAsia"/>
          <w:sz w:val="32"/>
          <w:szCs w:val="32"/>
        </w:rPr>
        <w:t>113.24</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48.78%</w:t>
      </w:r>
      <w:r>
        <w:rPr>
          <w:rFonts w:ascii="宋体" w:eastAsia="方正仿宋_GBK" w:hAnsi="宋体" w:cs="方正仿宋_GBK" w:hint="eastAsia"/>
          <w:sz w:val="32"/>
          <w:szCs w:val="32"/>
        </w:rPr>
        <w:t>；项目支出</w:t>
      </w:r>
      <w:r>
        <w:rPr>
          <w:rFonts w:ascii="宋体" w:eastAsia="方正仿宋_GBK" w:hAnsi="宋体" w:cs="方正仿宋_GBK" w:hint="eastAsia"/>
          <w:sz w:val="32"/>
          <w:szCs w:val="32"/>
        </w:rPr>
        <w:t>118.91</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51.22%</w:t>
      </w:r>
      <w:r>
        <w:rPr>
          <w:rFonts w:ascii="宋体" w:eastAsia="方正仿宋_GBK" w:hAnsi="宋体" w:cs="方正仿宋_GBK" w:hint="eastAsia"/>
          <w:sz w:val="32"/>
          <w:szCs w:val="32"/>
        </w:rPr>
        <w:t>。</w:t>
      </w:r>
    </w:p>
    <w:p w:rsidR="002C2456" w:rsidRDefault="00B66C29">
      <w:pPr>
        <w:numPr>
          <w:ilvl w:val="0"/>
          <w:numId w:val="3"/>
        </w:numPr>
        <w:spacing w:line="579" w:lineRule="exact"/>
        <w:ind w:firstLineChars="200" w:firstLine="643"/>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年度年末结转和结余</w:t>
      </w:r>
      <w:r>
        <w:rPr>
          <w:rFonts w:ascii="宋体" w:eastAsia="方正仿宋_GBK" w:hAnsi="宋体" w:cs="方正仿宋_GBK" w:hint="eastAsia"/>
          <w:sz w:val="32"/>
          <w:szCs w:val="32"/>
        </w:rPr>
        <w:t>5.10</w:t>
      </w:r>
      <w:r>
        <w:rPr>
          <w:rFonts w:ascii="宋体" w:eastAsia="方正仿宋_GBK" w:hAnsi="宋体" w:cs="方正仿宋_GBK" w:hint="eastAsia"/>
          <w:sz w:val="32"/>
          <w:szCs w:val="32"/>
        </w:rPr>
        <w:t>万元，与</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年度相比</w:t>
      </w:r>
      <w:r w:rsidR="00736045">
        <w:rPr>
          <w:rFonts w:ascii="方正仿宋_GBK" w:eastAsia="方正仿宋_GBK" w:hAnsi="方正仿宋_GBK" w:cs="方正仿宋_GBK"/>
          <w:sz w:val="32"/>
          <w:szCs w:val="32"/>
          <w:shd w:val="clear" w:color="auto" w:fill="FFFFFF"/>
        </w:rPr>
        <w:t>减少42.08万元，下降89.2%</w:t>
      </w:r>
      <w:r>
        <w:rPr>
          <w:rFonts w:ascii="宋体" w:eastAsia="方正仿宋_GBK" w:hAnsi="宋体" w:cs="方正仿宋_GBK" w:hint="eastAsia"/>
          <w:sz w:val="32"/>
          <w:szCs w:val="32"/>
        </w:rPr>
        <w:t>，主要</w:t>
      </w:r>
      <w:r w:rsidR="00736045">
        <w:rPr>
          <w:rFonts w:ascii="宋体" w:eastAsia="方正仿宋_GBK" w:hAnsi="宋体" w:cs="方正仿宋_GBK" w:hint="eastAsia"/>
          <w:sz w:val="32"/>
          <w:szCs w:val="32"/>
        </w:rPr>
        <w:t>原因是弥补经费不足</w:t>
      </w:r>
      <w:r>
        <w:rPr>
          <w:rFonts w:ascii="宋体" w:eastAsia="方正仿宋_GBK" w:hAnsi="宋体" w:cs="方正仿宋_GBK" w:hint="eastAsia"/>
          <w:sz w:val="32"/>
          <w:szCs w:val="32"/>
        </w:rPr>
        <w:t>支付</w:t>
      </w:r>
      <w:r w:rsidR="00736045">
        <w:rPr>
          <w:rFonts w:ascii="宋体" w:eastAsia="方正仿宋_GBK" w:hAnsi="宋体" w:cs="方正仿宋_GBK" w:hint="eastAsia"/>
          <w:sz w:val="32"/>
          <w:szCs w:val="32"/>
        </w:rPr>
        <w:t>相关费用</w:t>
      </w:r>
      <w:r>
        <w:rPr>
          <w:rFonts w:ascii="宋体" w:eastAsia="方正仿宋_GBK" w:hAnsi="宋体" w:cs="方正仿宋_GBK" w:hint="eastAsia"/>
          <w:kern w:val="0"/>
          <w:sz w:val="32"/>
          <w:szCs w:val="32"/>
        </w:rPr>
        <w:t>。</w:t>
      </w:r>
    </w:p>
    <w:p w:rsidR="002C2456" w:rsidRDefault="00B66C29">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2C2456" w:rsidRDefault="00B66C29">
      <w:pPr>
        <w:spacing w:line="579" w:lineRule="exact"/>
        <w:ind w:firstLineChars="200" w:firstLine="640"/>
        <w:rPr>
          <w:rFonts w:ascii="宋体" w:eastAsia="方正仿宋_GBK" w:hAnsi="宋体" w:cs="方正仿宋_GBK"/>
          <w:sz w:val="32"/>
          <w:highlight w:val="yellow"/>
        </w:rPr>
      </w:pPr>
      <w:r>
        <w:rPr>
          <w:rFonts w:ascii="宋体" w:eastAsia="方正仿宋_GBK" w:hAnsi="宋体" w:cs="方正仿宋_GBK" w:hint="eastAsia"/>
          <w:sz w:val="32"/>
        </w:rPr>
        <w:t>2024</w:t>
      </w:r>
      <w:r>
        <w:rPr>
          <w:rFonts w:ascii="宋体" w:eastAsia="方正仿宋_GBK" w:hAnsi="宋体" w:cs="方正仿宋_GBK" w:hint="eastAsia"/>
          <w:sz w:val="32"/>
        </w:rPr>
        <w:t>年度财政拨款收入总计</w:t>
      </w:r>
      <w:r>
        <w:rPr>
          <w:rFonts w:ascii="宋体" w:eastAsia="方正仿宋_GBK" w:hAnsi="宋体" w:cs="方正仿宋_GBK" w:hint="eastAsia"/>
          <w:sz w:val="32"/>
          <w:szCs w:val="32"/>
        </w:rPr>
        <w:t>190.07</w:t>
      </w:r>
      <w:r>
        <w:rPr>
          <w:rFonts w:ascii="宋体" w:eastAsia="方正仿宋_GBK" w:hAnsi="宋体" w:cs="方正仿宋_GBK" w:hint="eastAsia"/>
          <w:sz w:val="32"/>
        </w:rPr>
        <w:t>万元，支出总计</w:t>
      </w:r>
      <w:r>
        <w:rPr>
          <w:rFonts w:ascii="宋体" w:eastAsia="方正仿宋_GBK" w:hAnsi="宋体" w:cs="方正仿宋_GBK" w:hint="eastAsia"/>
          <w:sz w:val="32"/>
          <w:szCs w:val="32"/>
        </w:rPr>
        <w:t>232.14</w:t>
      </w:r>
      <w:r>
        <w:rPr>
          <w:rFonts w:ascii="宋体" w:eastAsia="方正仿宋_GBK" w:hAnsi="宋体" w:cs="方正仿宋_GBK" w:hint="eastAsia"/>
          <w:sz w:val="32"/>
        </w:rPr>
        <w:t>万元。收支较上年增加</w:t>
      </w:r>
      <w:r>
        <w:rPr>
          <w:rFonts w:ascii="宋体" w:eastAsia="方正仿宋_GBK" w:hAnsi="宋体" w:cs="方正仿宋_GBK" w:hint="eastAsia"/>
          <w:sz w:val="32"/>
        </w:rPr>
        <w:t>2.89</w:t>
      </w:r>
      <w:r>
        <w:rPr>
          <w:rFonts w:ascii="宋体" w:eastAsia="方正仿宋_GBK" w:hAnsi="宋体" w:cs="方正仿宋_GBK" w:hint="eastAsia"/>
          <w:sz w:val="32"/>
        </w:rPr>
        <w:t>万元，增长</w:t>
      </w:r>
      <w:r>
        <w:rPr>
          <w:rFonts w:ascii="宋体" w:eastAsia="方正仿宋_GBK" w:hAnsi="宋体" w:cs="方正仿宋_GBK" w:hint="eastAsia"/>
          <w:sz w:val="32"/>
        </w:rPr>
        <w:t>1.5%</w:t>
      </w:r>
      <w:r>
        <w:rPr>
          <w:rFonts w:ascii="宋体" w:eastAsia="方正仿宋_GBK" w:hAnsi="宋体" w:cs="方正仿宋_GBK" w:hint="eastAsia"/>
          <w:sz w:val="32"/>
        </w:rPr>
        <w:t>，主要是因人员晋职晋级及政策性工资调标导致基本支出人员经费增加。</w:t>
      </w:r>
    </w:p>
    <w:p w:rsidR="002C2456" w:rsidRDefault="00B66C29">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2C2456" w:rsidRDefault="00B66C29">
      <w:pPr>
        <w:numPr>
          <w:ilvl w:val="0"/>
          <w:numId w:val="4"/>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年度一般公共预算财政拨款收入</w:t>
      </w:r>
      <w:r>
        <w:rPr>
          <w:rFonts w:ascii="宋体" w:eastAsia="方正仿宋_GBK" w:hAnsi="宋体" w:cs="方正仿宋_GBK" w:hint="eastAsia"/>
          <w:sz w:val="32"/>
          <w:szCs w:val="32"/>
        </w:rPr>
        <w:t>190.07</w:t>
      </w:r>
      <w:r>
        <w:rPr>
          <w:rFonts w:ascii="宋体" w:eastAsia="方正仿宋_GBK" w:hAnsi="宋体" w:cs="方正仿宋_GBK" w:hint="eastAsia"/>
          <w:sz w:val="32"/>
        </w:rPr>
        <w:t>万元，较上年决算数增加</w:t>
      </w:r>
      <w:r>
        <w:rPr>
          <w:rFonts w:ascii="宋体" w:eastAsia="方正仿宋_GBK" w:hAnsi="宋体" w:cs="方正仿宋_GBK" w:hint="eastAsia"/>
          <w:sz w:val="32"/>
        </w:rPr>
        <w:t>2.89</w:t>
      </w:r>
      <w:r>
        <w:rPr>
          <w:rFonts w:ascii="宋体" w:eastAsia="方正仿宋_GBK" w:hAnsi="宋体" w:cs="方正仿宋_GBK" w:hint="eastAsia"/>
          <w:sz w:val="32"/>
        </w:rPr>
        <w:t>万元，增长</w:t>
      </w:r>
      <w:r>
        <w:rPr>
          <w:rFonts w:ascii="宋体" w:eastAsia="方正仿宋_GBK" w:hAnsi="宋体" w:cs="方正仿宋_GBK" w:hint="eastAsia"/>
          <w:sz w:val="32"/>
        </w:rPr>
        <w:t>1.5%</w:t>
      </w:r>
      <w:r>
        <w:rPr>
          <w:rFonts w:ascii="宋体" w:eastAsia="方正仿宋_GBK" w:hAnsi="宋体" w:cs="方正仿宋_GBK" w:hint="eastAsia"/>
          <w:sz w:val="32"/>
        </w:rPr>
        <w:t>，主要原因为人员晋职晋级及政策性工资调标导致基本支出人员经费增加。较年初预算数减少</w:t>
      </w:r>
      <w:r>
        <w:rPr>
          <w:rFonts w:ascii="宋体" w:eastAsia="方正仿宋_GBK" w:hAnsi="宋体" w:cs="方正仿宋_GBK" w:hint="eastAsia"/>
          <w:sz w:val="32"/>
        </w:rPr>
        <w:t>2.16</w:t>
      </w:r>
      <w:r>
        <w:rPr>
          <w:rFonts w:ascii="宋体" w:eastAsia="方正仿宋_GBK" w:hAnsi="宋体" w:cs="方正仿宋_GBK" w:hint="eastAsia"/>
          <w:sz w:val="32"/>
        </w:rPr>
        <w:t>万元，下降</w:t>
      </w:r>
      <w:r>
        <w:rPr>
          <w:rFonts w:ascii="宋体" w:eastAsia="方正仿宋_GBK" w:hAnsi="宋体" w:cs="方正仿宋_GBK" w:hint="eastAsia"/>
          <w:sz w:val="32"/>
        </w:rPr>
        <w:t>1.1%</w:t>
      </w:r>
      <w:r>
        <w:rPr>
          <w:rFonts w:ascii="宋体" w:eastAsia="方正仿宋_GBK" w:hAnsi="宋体" w:cs="方正仿宋_GBK" w:hint="eastAsia"/>
          <w:sz w:val="32"/>
        </w:rPr>
        <w:t>，主要原因是调出</w:t>
      </w:r>
      <w:r>
        <w:rPr>
          <w:rFonts w:ascii="宋体" w:eastAsia="方正仿宋_GBK" w:hAnsi="宋体" w:cs="方正仿宋_GBK" w:hint="eastAsia"/>
          <w:sz w:val="32"/>
        </w:rPr>
        <w:t>1</w:t>
      </w:r>
      <w:r>
        <w:rPr>
          <w:rFonts w:ascii="宋体" w:eastAsia="方正仿宋_GBK" w:hAnsi="宋体" w:cs="方正仿宋_GBK" w:hint="eastAsia"/>
          <w:sz w:val="32"/>
        </w:rPr>
        <w:t>人</w:t>
      </w:r>
      <w:r w:rsidR="00736045">
        <w:rPr>
          <w:rFonts w:ascii="宋体" w:eastAsia="方正仿宋_GBK" w:hAnsi="宋体" w:cs="方正仿宋_GBK" w:hint="eastAsia"/>
          <w:sz w:val="32"/>
        </w:rPr>
        <w:t>。</w:t>
      </w:r>
      <w:r>
        <w:rPr>
          <w:rFonts w:ascii="方正仿宋_GBK" w:eastAsia="方正仿宋_GBK" w:hAnsi="方正仿宋_GBK" w:cs="方正仿宋_GBK"/>
          <w:sz w:val="32"/>
          <w:szCs w:val="32"/>
          <w:shd w:val="clear" w:color="auto" w:fill="FFFFFF"/>
        </w:rPr>
        <w:t>此</w:t>
      </w:r>
      <w:r>
        <w:rPr>
          <w:rFonts w:ascii="方正仿宋_GBK" w:eastAsia="方正仿宋_GBK" w:hAnsi="方正仿宋_GBK" w:cs="方正仿宋_GBK"/>
          <w:sz w:val="32"/>
          <w:szCs w:val="32"/>
          <w:shd w:val="clear" w:color="auto" w:fill="FFFFFF"/>
        </w:rPr>
        <w:lastRenderedPageBreak/>
        <w:t>外，年初财政拨款结转和结余</w:t>
      </w:r>
      <w:r w:rsidR="00736045">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w:t>
      </w:r>
    </w:p>
    <w:p w:rsidR="002C2456" w:rsidRDefault="00B66C29">
      <w:pPr>
        <w:numPr>
          <w:ilvl w:val="0"/>
          <w:numId w:val="4"/>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支出情况。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w:t>
      </w:r>
      <w:r w:rsidR="00736045">
        <w:rPr>
          <w:rFonts w:ascii="方正仿宋_GBK" w:eastAsia="方正仿宋_GBK" w:hAnsi="方正仿宋_GBK" w:cs="方正仿宋_GBK"/>
          <w:sz w:val="32"/>
          <w:szCs w:val="32"/>
        </w:rPr>
        <w:t>190.07</w:t>
      </w:r>
      <w:r>
        <w:rPr>
          <w:rFonts w:ascii="宋体" w:eastAsia="方正仿宋_GBK" w:hAnsi="宋体" w:cs="方正仿宋_GBK" w:hint="eastAsia"/>
          <w:sz w:val="32"/>
        </w:rPr>
        <w:t>万元，较上年决算数增加</w:t>
      </w:r>
      <w:r w:rsidR="00736045">
        <w:rPr>
          <w:rFonts w:ascii="宋体" w:eastAsia="方正仿宋_GBK" w:hAnsi="宋体" w:cs="方正仿宋_GBK" w:hint="eastAsia"/>
          <w:sz w:val="32"/>
        </w:rPr>
        <w:t>2.89</w:t>
      </w:r>
      <w:r>
        <w:rPr>
          <w:rFonts w:ascii="宋体" w:eastAsia="方正仿宋_GBK" w:hAnsi="宋体" w:cs="方正仿宋_GBK" w:hint="eastAsia"/>
          <w:sz w:val="32"/>
        </w:rPr>
        <w:t>万元，增长</w:t>
      </w:r>
      <w:r w:rsidR="00736045">
        <w:rPr>
          <w:rFonts w:ascii="宋体" w:eastAsia="方正仿宋_GBK" w:hAnsi="宋体" w:cs="方正仿宋_GBK" w:hint="eastAsia"/>
          <w:sz w:val="32"/>
        </w:rPr>
        <w:t>1.5</w:t>
      </w:r>
      <w:r>
        <w:rPr>
          <w:rFonts w:ascii="宋体" w:eastAsia="方正仿宋_GBK" w:hAnsi="宋体" w:cs="方正仿宋_GBK" w:hint="eastAsia"/>
          <w:sz w:val="32"/>
        </w:rPr>
        <w:t>%</w:t>
      </w:r>
      <w:r>
        <w:rPr>
          <w:rFonts w:ascii="宋体" w:eastAsia="方正仿宋_GBK" w:hAnsi="宋体" w:cs="方正仿宋_GBK" w:hint="eastAsia"/>
          <w:sz w:val="32"/>
        </w:rPr>
        <w:t>，主要原因是人员晋职晋级及政策性工资调标导致人员经费增加。较年初预算数</w:t>
      </w:r>
      <w:r w:rsidR="00736045">
        <w:rPr>
          <w:rFonts w:ascii="宋体" w:eastAsia="方正仿宋_GBK" w:hAnsi="宋体" w:cs="方正仿宋_GBK" w:hint="eastAsia"/>
          <w:sz w:val="32"/>
        </w:rPr>
        <w:t>减少</w:t>
      </w:r>
      <w:r w:rsidR="00736045">
        <w:rPr>
          <w:rFonts w:ascii="宋体" w:eastAsia="方正仿宋_GBK" w:hAnsi="宋体" w:cs="方正仿宋_GBK" w:hint="eastAsia"/>
          <w:sz w:val="32"/>
        </w:rPr>
        <w:t>2.16</w:t>
      </w:r>
      <w:r>
        <w:rPr>
          <w:rFonts w:ascii="宋体" w:eastAsia="方正仿宋_GBK" w:hAnsi="宋体" w:cs="方正仿宋_GBK" w:hint="eastAsia"/>
          <w:sz w:val="32"/>
        </w:rPr>
        <w:t>万元，</w:t>
      </w:r>
      <w:r w:rsidR="00736045">
        <w:rPr>
          <w:rFonts w:ascii="宋体" w:eastAsia="方正仿宋_GBK" w:hAnsi="宋体" w:cs="方正仿宋_GBK" w:hint="eastAsia"/>
          <w:sz w:val="32"/>
        </w:rPr>
        <w:t>下降</w:t>
      </w:r>
      <w:r w:rsidR="00736045">
        <w:rPr>
          <w:rFonts w:ascii="宋体" w:eastAsia="方正仿宋_GBK" w:hAnsi="宋体" w:cs="方正仿宋_GBK" w:hint="eastAsia"/>
          <w:sz w:val="32"/>
        </w:rPr>
        <w:t>1.1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736045">
        <w:rPr>
          <w:rFonts w:ascii="宋体" w:eastAsia="方正仿宋_GBK" w:hAnsi="宋体" w:cs="方正仿宋_GBK" w:hint="eastAsia"/>
          <w:sz w:val="32"/>
        </w:rPr>
        <w:t>调出</w:t>
      </w:r>
      <w:r w:rsidR="00736045">
        <w:rPr>
          <w:rFonts w:ascii="宋体" w:eastAsia="方正仿宋_GBK" w:hAnsi="宋体" w:cs="方正仿宋_GBK" w:hint="eastAsia"/>
          <w:sz w:val="32"/>
        </w:rPr>
        <w:t>1</w:t>
      </w:r>
      <w:r w:rsidR="00736045">
        <w:rPr>
          <w:rFonts w:ascii="宋体" w:eastAsia="方正仿宋_GBK" w:hAnsi="宋体" w:cs="方正仿宋_GBK" w:hint="eastAsia"/>
          <w:sz w:val="32"/>
        </w:rPr>
        <w:t>人</w:t>
      </w:r>
      <w:r>
        <w:rPr>
          <w:rFonts w:ascii="宋体" w:eastAsia="方正仿宋_GBK" w:hAnsi="宋体" w:cs="方正仿宋_GBK" w:hint="eastAsia"/>
          <w:sz w:val="32"/>
        </w:rPr>
        <w:t>。</w:t>
      </w:r>
    </w:p>
    <w:p w:rsidR="002C2456" w:rsidRDefault="00B66C29">
      <w:p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3.</w:t>
      </w:r>
      <w:r>
        <w:rPr>
          <w:rFonts w:ascii="宋体" w:eastAsia="方正仿宋_GBK" w:hAnsi="宋体" w:cs="方正仿宋_GBK" w:hint="eastAsia"/>
          <w:b/>
          <w:bCs/>
          <w:sz w:val="32"/>
        </w:rPr>
        <w:t>结转结余情况。</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度年末一般公共预算财政拨款结转和结余</w:t>
      </w:r>
      <w:r w:rsidR="00736045">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w:t>
      </w:r>
      <w:r w:rsidR="00736045">
        <w:rPr>
          <w:rFonts w:ascii="方正仿宋_GBK" w:eastAsia="方正仿宋_GBK" w:hAnsi="方正仿宋_GBK" w:cs="方正仿宋_GBK"/>
          <w:sz w:val="32"/>
          <w:szCs w:val="32"/>
          <w:shd w:val="clear" w:color="auto" w:fill="FFFFFF"/>
        </w:rPr>
        <w:t>与2023年度相比，无增减</w:t>
      </w:r>
      <w:r>
        <w:rPr>
          <w:rFonts w:ascii="宋体" w:eastAsia="方正仿宋_GBK" w:hAnsi="宋体" w:cs="方正仿宋_GBK" w:hint="eastAsia"/>
          <w:kern w:val="0"/>
          <w:sz w:val="32"/>
          <w:szCs w:val="32"/>
        </w:rPr>
        <w:t>。</w:t>
      </w:r>
    </w:p>
    <w:p w:rsidR="002C2456" w:rsidRDefault="00B66C29" w:rsidP="001554B3">
      <w:pPr>
        <w:pStyle w:val="a6"/>
        <w:widowControl/>
        <w:spacing w:before="0" w:beforeAutospacing="0" w:after="0" w:afterAutospacing="0" w:line="579" w:lineRule="exact"/>
        <w:ind w:leftChars="200" w:left="420" w:firstLineChars="100" w:firstLine="321"/>
        <w:jc w:val="both"/>
        <w:rPr>
          <w:rFonts w:ascii="宋体" w:eastAsia="方正仿宋_GBK" w:hAnsi="宋体" w:cs="方正仿宋_GBK"/>
          <w:sz w:val="32"/>
        </w:rPr>
      </w:pPr>
      <w:r>
        <w:rPr>
          <w:rFonts w:ascii="宋体" w:eastAsia="方正仿宋_GBK" w:hAnsi="宋体" w:cs="方正仿宋_GBK" w:hint="eastAsia"/>
          <w:b/>
          <w:bCs/>
          <w:kern w:val="2"/>
          <w:sz w:val="32"/>
        </w:rPr>
        <w:t>4.</w:t>
      </w:r>
      <w:r>
        <w:rPr>
          <w:rFonts w:ascii="宋体" w:eastAsia="方正仿宋_GBK" w:hAnsi="宋体" w:cs="方正仿宋_GBK" w:hint="eastAsia"/>
          <w:b/>
          <w:bCs/>
          <w:kern w:val="2"/>
          <w:sz w:val="32"/>
        </w:rPr>
        <w:t>比较情况。</w:t>
      </w:r>
      <w:r>
        <w:rPr>
          <w:rFonts w:ascii="宋体" w:eastAsia="方正仿宋_GBK" w:hAnsi="宋体" w:cs="方正仿宋_GBK" w:hint="eastAsia"/>
          <w:sz w:val="32"/>
        </w:rPr>
        <w:t>本部门</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2C2456" w:rsidRDefault="00B66C29">
      <w:pPr>
        <w:pStyle w:val="a6"/>
        <w:widowControl/>
        <w:numPr>
          <w:ilvl w:val="0"/>
          <w:numId w:val="5"/>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教育支出</w:t>
      </w:r>
      <w:r>
        <w:rPr>
          <w:rFonts w:ascii="宋体" w:eastAsia="方正仿宋_GBK" w:hAnsi="宋体" w:cs="方正仿宋_GBK" w:hint="eastAsia"/>
          <w:sz w:val="32"/>
        </w:rPr>
        <w:t>0</w:t>
      </w:r>
      <w:r>
        <w:rPr>
          <w:rFonts w:ascii="宋体" w:eastAsia="方正仿宋_GBK" w:hAnsi="宋体" w:cs="方正仿宋_GBK" w:hint="eastAsia"/>
          <w:sz w:val="32"/>
        </w:rPr>
        <w:t>万元，较年初预算数减少</w:t>
      </w:r>
      <w:r>
        <w:rPr>
          <w:rFonts w:ascii="宋体" w:eastAsia="方正仿宋_GBK" w:hAnsi="宋体" w:cs="方正仿宋_GBK" w:hint="eastAsia"/>
          <w:sz w:val="32"/>
        </w:rPr>
        <w:t>0.56</w:t>
      </w:r>
      <w:r>
        <w:rPr>
          <w:rFonts w:ascii="宋体" w:eastAsia="方正仿宋_GBK" w:hAnsi="宋体" w:cs="方正仿宋_GBK" w:hint="eastAsia"/>
          <w:sz w:val="32"/>
        </w:rPr>
        <w:t>万元，下降</w:t>
      </w:r>
      <w:r>
        <w:rPr>
          <w:rFonts w:ascii="宋体" w:eastAsia="方正仿宋_GBK" w:hAnsi="宋体" w:cs="方正仿宋_GBK" w:hint="eastAsia"/>
          <w:sz w:val="32"/>
        </w:rPr>
        <w:t>100%</w:t>
      </w:r>
      <w:r>
        <w:rPr>
          <w:rFonts w:ascii="宋体" w:eastAsia="方正仿宋_GBK" w:hAnsi="宋体" w:cs="方正仿宋_GBK" w:hint="eastAsia"/>
          <w:sz w:val="32"/>
        </w:rPr>
        <w:t>。</w:t>
      </w:r>
    </w:p>
    <w:p w:rsidR="002C2456" w:rsidRDefault="00B66C29">
      <w:pPr>
        <w:pStyle w:val="a6"/>
        <w:widowControl/>
        <w:numPr>
          <w:ilvl w:val="0"/>
          <w:numId w:val="5"/>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社会保障和就业支出</w:t>
      </w:r>
      <w:r>
        <w:rPr>
          <w:rFonts w:ascii="宋体" w:eastAsia="方正仿宋_GBK" w:hAnsi="宋体" w:cs="方正仿宋_GBK" w:hint="eastAsia"/>
          <w:sz w:val="32"/>
        </w:rPr>
        <w:t>12.58</w:t>
      </w:r>
      <w:r>
        <w:rPr>
          <w:rFonts w:ascii="宋体" w:eastAsia="方正仿宋_GBK" w:hAnsi="宋体" w:cs="方正仿宋_GBK" w:hint="eastAsia"/>
          <w:sz w:val="32"/>
        </w:rPr>
        <w:t>万元，占比</w:t>
      </w:r>
      <w:r>
        <w:rPr>
          <w:rFonts w:ascii="宋体" w:eastAsia="方正仿宋_GBK" w:hAnsi="宋体" w:cs="方正仿宋_GBK" w:hint="eastAsia"/>
          <w:sz w:val="32"/>
        </w:rPr>
        <w:t>6.62%</w:t>
      </w:r>
      <w:r>
        <w:rPr>
          <w:rFonts w:ascii="宋体" w:eastAsia="方正仿宋_GBK" w:hAnsi="宋体" w:cs="方正仿宋_GBK" w:hint="eastAsia"/>
          <w:sz w:val="32"/>
        </w:rPr>
        <w:t>。较年初预算数减少</w:t>
      </w:r>
      <w:r>
        <w:rPr>
          <w:rFonts w:ascii="宋体" w:eastAsia="方正仿宋_GBK" w:hAnsi="宋体" w:cs="方正仿宋_GBK" w:hint="eastAsia"/>
          <w:sz w:val="32"/>
        </w:rPr>
        <w:t>1.21</w:t>
      </w:r>
      <w:r>
        <w:rPr>
          <w:rFonts w:ascii="宋体" w:eastAsia="方正仿宋_GBK" w:hAnsi="宋体" w:cs="方正仿宋_GBK" w:hint="eastAsia"/>
          <w:sz w:val="32"/>
        </w:rPr>
        <w:t>万元，下降</w:t>
      </w:r>
      <w:r w:rsidR="00736045">
        <w:rPr>
          <w:rFonts w:ascii="宋体" w:eastAsia="方正仿宋_GBK" w:hAnsi="宋体" w:cs="方正仿宋_GBK" w:hint="eastAsia"/>
          <w:sz w:val="32"/>
        </w:rPr>
        <w:t>8.8</w:t>
      </w:r>
      <w:r>
        <w:rPr>
          <w:rFonts w:ascii="宋体" w:eastAsia="方正仿宋_GBK" w:hAnsi="宋体" w:cs="方正仿宋_GBK" w:hint="eastAsia"/>
          <w:sz w:val="32"/>
        </w:rPr>
        <w:t xml:space="preserve"> %</w:t>
      </w:r>
      <w:r>
        <w:rPr>
          <w:rFonts w:ascii="宋体" w:eastAsia="方正仿宋_GBK" w:hAnsi="宋体" w:cs="方正仿宋_GBK" w:hint="eastAsia"/>
          <w:sz w:val="32"/>
        </w:rPr>
        <w:t>，主要原因是调出</w:t>
      </w:r>
      <w:r>
        <w:rPr>
          <w:rFonts w:ascii="宋体" w:eastAsia="方正仿宋_GBK" w:hAnsi="宋体" w:cs="方正仿宋_GBK" w:hint="eastAsia"/>
          <w:sz w:val="32"/>
        </w:rPr>
        <w:t>1</w:t>
      </w:r>
      <w:r>
        <w:rPr>
          <w:rFonts w:ascii="宋体" w:eastAsia="方正仿宋_GBK" w:hAnsi="宋体" w:cs="方正仿宋_GBK" w:hint="eastAsia"/>
          <w:sz w:val="32"/>
        </w:rPr>
        <w:t>人。</w:t>
      </w:r>
    </w:p>
    <w:p w:rsidR="002C2456" w:rsidRDefault="00B66C29" w:rsidP="001554B3">
      <w:pPr>
        <w:pStyle w:val="a6"/>
        <w:widowControl/>
        <w:spacing w:before="0" w:beforeAutospacing="0" w:after="0" w:afterAutospacing="0" w:line="579" w:lineRule="exact"/>
        <w:ind w:leftChars="200" w:left="420" w:firstLineChars="100" w:firstLine="320"/>
        <w:jc w:val="both"/>
        <w:rPr>
          <w:rFonts w:ascii="宋体" w:eastAsia="方正仿宋_GBK" w:hAnsi="宋体" w:cs="方正仿宋_GBK"/>
          <w:sz w:val="32"/>
          <w:highlight w:val="yellow"/>
        </w:rPr>
      </w:pPr>
      <w:r>
        <w:rPr>
          <w:rFonts w:ascii="宋体" w:eastAsia="方正仿宋_GBK" w:hAnsi="宋体" w:cs="方正仿宋_GBK" w:hint="eastAsia"/>
          <w:sz w:val="32"/>
        </w:rPr>
        <w:t>（</w:t>
      </w:r>
      <w:r>
        <w:rPr>
          <w:rFonts w:ascii="宋体" w:eastAsia="方正仿宋_GBK" w:hAnsi="宋体" w:cs="方正仿宋_GBK" w:hint="eastAsia"/>
          <w:sz w:val="32"/>
        </w:rPr>
        <w:t>3</w:t>
      </w:r>
      <w:r>
        <w:rPr>
          <w:rFonts w:ascii="宋体" w:eastAsia="方正仿宋_GBK" w:hAnsi="宋体" w:cs="方正仿宋_GBK" w:hint="eastAsia"/>
          <w:sz w:val="32"/>
        </w:rPr>
        <w:t>）卫生健康支出</w:t>
      </w:r>
      <w:r>
        <w:rPr>
          <w:rFonts w:ascii="宋体" w:eastAsia="方正仿宋_GBK" w:hAnsi="宋体" w:cs="方正仿宋_GBK" w:hint="eastAsia"/>
          <w:sz w:val="32"/>
        </w:rPr>
        <w:t>6.82</w:t>
      </w:r>
      <w:r>
        <w:rPr>
          <w:rFonts w:ascii="宋体" w:eastAsia="方正仿宋_GBK" w:hAnsi="宋体" w:cs="方正仿宋_GBK" w:hint="eastAsia"/>
          <w:sz w:val="32"/>
        </w:rPr>
        <w:t>万元，占比</w:t>
      </w:r>
      <w:r>
        <w:rPr>
          <w:rFonts w:ascii="宋体" w:eastAsia="方正仿宋_GBK" w:hAnsi="宋体" w:cs="方正仿宋_GBK" w:hint="eastAsia"/>
          <w:sz w:val="32"/>
        </w:rPr>
        <w:t>3.59%</w:t>
      </w:r>
      <w:r>
        <w:rPr>
          <w:rFonts w:ascii="宋体" w:eastAsia="方正仿宋_GBK" w:hAnsi="宋体" w:cs="方正仿宋_GBK" w:hint="eastAsia"/>
          <w:sz w:val="32"/>
        </w:rPr>
        <w:t>。较年初预算数减少</w:t>
      </w:r>
      <w:r>
        <w:rPr>
          <w:rFonts w:ascii="宋体" w:eastAsia="方正仿宋_GBK" w:hAnsi="宋体" w:cs="方正仿宋_GBK" w:hint="eastAsia"/>
          <w:sz w:val="32"/>
        </w:rPr>
        <w:t>0.5</w:t>
      </w:r>
      <w:r>
        <w:rPr>
          <w:rFonts w:ascii="宋体" w:eastAsia="方正仿宋_GBK" w:hAnsi="宋体" w:cs="方正仿宋_GBK" w:hint="eastAsia"/>
          <w:sz w:val="32"/>
        </w:rPr>
        <w:t>万元，下降</w:t>
      </w:r>
      <w:r>
        <w:rPr>
          <w:rFonts w:ascii="宋体" w:eastAsia="方正仿宋_GBK" w:hAnsi="宋体" w:cs="方正仿宋_GBK" w:hint="eastAsia"/>
          <w:sz w:val="32"/>
        </w:rPr>
        <w:t>7.</w:t>
      </w:r>
      <w:r w:rsidR="00736045">
        <w:rPr>
          <w:rFonts w:ascii="宋体" w:eastAsia="方正仿宋_GBK" w:hAnsi="宋体" w:cs="方正仿宋_GBK" w:hint="eastAsia"/>
          <w:sz w:val="32"/>
        </w:rPr>
        <w:t>0</w:t>
      </w:r>
      <w:r>
        <w:rPr>
          <w:rFonts w:ascii="宋体" w:eastAsia="方正仿宋_GBK" w:hAnsi="宋体" w:cs="方正仿宋_GBK" w:hint="eastAsia"/>
          <w:sz w:val="32"/>
        </w:rPr>
        <w:t>%</w:t>
      </w:r>
      <w:r>
        <w:rPr>
          <w:rFonts w:ascii="宋体" w:eastAsia="方正仿宋_GBK" w:hAnsi="宋体" w:cs="方正仿宋_GBK" w:hint="eastAsia"/>
          <w:sz w:val="32"/>
        </w:rPr>
        <w:t>，主要原因是调出</w:t>
      </w:r>
      <w:r>
        <w:rPr>
          <w:rFonts w:ascii="宋体" w:eastAsia="方正仿宋_GBK" w:hAnsi="宋体" w:cs="方正仿宋_GBK" w:hint="eastAsia"/>
          <w:sz w:val="32"/>
        </w:rPr>
        <w:t>1</w:t>
      </w:r>
      <w:r>
        <w:rPr>
          <w:rFonts w:ascii="宋体" w:eastAsia="方正仿宋_GBK" w:hAnsi="宋体" w:cs="方正仿宋_GBK" w:hint="eastAsia"/>
          <w:sz w:val="32"/>
        </w:rPr>
        <w:t>人。</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w:t>
      </w:r>
      <w:r>
        <w:rPr>
          <w:rFonts w:ascii="宋体" w:eastAsia="方正仿宋_GBK" w:hAnsi="宋体" w:cs="方正仿宋_GBK" w:hint="eastAsia"/>
          <w:sz w:val="32"/>
        </w:rPr>
        <w:t>4</w:t>
      </w:r>
      <w:r>
        <w:rPr>
          <w:rFonts w:ascii="宋体" w:eastAsia="方正仿宋_GBK" w:hAnsi="宋体" w:cs="方正仿宋_GBK" w:hint="eastAsia"/>
          <w:sz w:val="32"/>
        </w:rPr>
        <w:t>）城乡社区支出</w:t>
      </w:r>
      <w:r>
        <w:rPr>
          <w:rFonts w:ascii="宋体" w:eastAsia="方正仿宋_GBK" w:hAnsi="宋体" w:cs="方正仿宋_GBK" w:hint="eastAsia"/>
          <w:sz w:val="32"/>
        </w:rPr>
        <w:t>163.36</w:t>
      </w:r>
      <w:r>
        <w:rPr>
          <w:rFonts w:ascii="宋体" w:eastAsia="方正仿宋_GBK" w:hAnsi="宋体" w:cs="方正仿宋_GBK" w:hint="eastAsia"/>
          <w:sz w:val="32"/>
        </w:rPr>
        <w:t>万元，占比</w:t>
      </w:r>
      <w:r>
        <w:rPr>
          <w:rFonts w:ascii="宋体" w:eastAsia="方正仿宋_GBK" w:hAnsi="宋体" w:cs="方正仿宋_GBK" w:hint="eastAsia"/>
          <w:sz w:val="32"/>
        </w:rPr>
        <w:t>85.95%</w:t>
      </w:r>
      <w:r>
        <w:rPr>
          <w:rFonts w:ascii="宋体" w:eastAsia="方正仿宋_GBK" w:hAnsi="宋体" w:cs="方正仿宋_GBK" w:hint="eastAsia"/>
          <w:sz w:val="32"/>
        </w:rPr>
        <w:t>。较年初预算数增加</w:t>
      </w:r>
      <w:r>
        <w:rPr>
          <w:rFonts w:ascii="宋体" w:eastAsia="方正仿宋_GBK" w:hAnsi="宋体" w:cs="方正仿宋_GBK" w:hint="eastAsia"/>
          <w:sz w:val="32"/>
        </w:rPr>
        <w:t>0.8</w:t>
      </w:r>
      <w:r>
        <w:rPr>
          <w:rFonts w:ascii="宋体" w:eastAsia="方正仿宋_GBK" w:hAnsi="宋体" w:cs="方正仿宋_GBK" w:hint="eastAsia"/>
          <w:sz w:val="32"/>
        </w:rPr>
        <w:t>万元，增长</w:t>
      </w:r>
      <w:r>
        <w:rPr>
          <w:rFonts w:ascii="宋体" w:eastAsia="方正仿宋_GBK" w:hAnsi="宋体" w:cs="方正仿宋_GBK" w:hint="eastAsia"/>
          <w:sz w:val="32"/>
        </w:rPr>
        <w:t>0.</w:t>
      </w:r>
      <w:r w:rsidR="00736045">
        <w:rPr>
          <w:rFonts w:ascii="宋体" w:eastAsia="方正仿宋_GBK" w:hAnsi="宋体" w:cs="方正仿宋_GBK" w:hint="eastAsia"/>
          <w:sz w:val="32"/>
        </w:rPr>
        <w:t>5</w:t>
      </w:r>
      <w:r>
        <w:rPr>
          <w:rFonts w:ascii="宋体" w:eastAsia="方正仿宋_GBK" w:hAnsi="宋体" w:cs="方正仿宋_GBK" w:hint="eastAsia"/>
          <w:sz w:val="32"/>
        </w:rPr>
        <w:t>%</w:t>
      </w:r>
      <w:r>
        <w:rPr>
          <w:rFonts w:ascii="宋体" w:eastAsia="方正仿宋_GBK" w:hAnsi="宋体" w:cs="方正仿宋_GBK" w:hint="eastAsia"/>
          <w:sz w:val="32"/>
        </w:rPr>
        <w:t>，因人员晋职晋级及政策性工资调标导致人员经费增加。</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w:t>
      </w:r>
      <w:r>
        <w:rPr>
          <w:rFonts w:ascii="宋体" w:eastAsia="方正仿宋_GBK" w:hAnsi="宋体" w:cs="方正仿宋_GBK" w:hint="eastAsia"/>
          <w:sz w:val="32"/>
        </w:rPr>
        <w:t>5</w:t>
      </w:r>
      <w:r>
        <w:rPr>
          <w:rFonts w:ascii="宋体" w:eastAsia="方正仿宋_GBK" w:hAnsi="宋体" w:cs="方正仿宋_GBK" w:hint="eastAsia"/>
          <w:sz w:val="32"/>
        </w:rPr>
        <w:t>）住房保障支出</w:t>
      </w:r>
      <w:r>
        <w:rPr>
          <w:rFonts w:ascii="宋体" w:eastAsia="方正仿宋_GBK" w:hAnsi="宋体" w:cs="方正仿宋_GBK" w:hint="eastAsia"/>
          <w:sz w:val="32"/>
        </w:rPr>
        <w:t>7.32</w:t>
      </w:r>
      <w:r>
        <w:rPr>
          <w:rFonts w:ascii="宋体" w:eastAsia="方正仿宋_GBK" w:hAnsi="宋体" w:cs="方正仿宋_GBK" w:hint="eastAsia"/>
          <w:sz w:val="32"/>
        </w:rPr>
        <w:t>万元，占比</w:t>
      </w:r>
      <w:r>
        <w:rPr>
          <w:rFonts w:ascii="宋体" w:eastAsia="方正仿宋_GBK" w:hAnsi="宋体" w:cs="方正仿宋_GBK" w:hint="eastAsia"/>
          <w:sz w:val="32"/>
        </w:rPr>
        <w:t>3.85%</w:t>
      </w:r>
      <w:r>
        <w:rPr>
          <w:rFonts w:ascii="宋体" w:eastAsia="方正仿宋_GBK" w:hAnsi="宋体" w:cs="方正仿宋_GBK" w:hint="eastAsia"/>
          <w:sz w:val="32"/>
        </w:rPr>
        <w:t>。较年初预算数减少</w:t>
      </w:r>
      <w:r>
        <w:rPr>
          <w:rFonts w:ascii="宋体" w:eastAsia="方正仿宋_GBK" w:hAnsi="宋体" w:cs="方正仿宋_GBK" w:hint="eastAsia"/>
          <w:sz w:val="32"/>
        </w:rPr>
        <w:t>0.68</w:t>
      </w:r>
      <w:r>
        <w:rPr>
          <w:rFonts w:ascii="宋体" w:eastAsia="方正仿宋_GBK" w:hAnsi="宋体" w:cs="方正仿宋_GBK" w:hint="eastAsia"/>
          <w:sz w:val="32"/>
        </w:rPr>
        <w:t>万元，下降</w:t>
      </w:r>
      <w:r w:rsidR="00736045">
        <w:rPr>
          <w:rFonts w:ascii="宋体" w:eastAsia="方正仿宋_GBK" w:hAnsi="宋体" w:cs="方正仿宋_GBK" w:hint="eastAsia"/>
          <w:sz w:val="32"/>
        </w:rPr>
        <w:t>8.5</w:t>
      </w:r>
      <w:r>
        <w:rPr>
          <w:rFonts w:ascii="宋体" w:eastAsia="方正仿宋_GBK" w:hAnsi="宋体" w:cs="方正仿宋_GBK" w:hint="eastAsia"/>
          <w:sz w:val="32"/>
        </w:rPr>
        <w:t>%</w:t>
      </w:r>
      <w:r>
        <w:rPr>
          <w:rFonts w:ascii="宋体" w:eastAsia="方正仿宋_GBK" w:hAnsi="宋体" w:cs="方正仿宋_GBK" w:hint="eastAsia"/>
          <w:sz w:val="32"/>
        </w:rPr>
        <w:t>，主要原因是调出</w:t>
      </w:r>
      <w:r>
        <w:rPr>
          <w:rFonts w:ascii="宋体" w:eastAsia="方正仿宋_GBK" w:hAnsi="宋体" w:cs="方正仿宋_GBK" w:hint="eastAsia"/>
          <w:sz w:val="32"/>
        </w:rPr>
        <w:t>1</w:t>
      </w:r>
      <w:r>
        <w:rPr>
          <w:rFonts w:ascii="宋体" w:eastAsia="方正仿宋_GBK" w:hAnsi="宋体" w:cs="方正仿宋_GBK" w:hint="eastAsia"/>
          <w:sz w:val="32"/>
        </w:rPr>
        <w:t>人。</w:t>
      </w:r>
    </w:p>
    <w:p w:rsidR="002C2456" w:rsidRDefault="00B66C29">
      <w:pPr>
        <w:numPr>
          <w:ilvl w:val="0"/>
          <w:numId w:val="2"/>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年度一般公共预算财政拨款基本支出</w:t>
      </w:r>
      <w:r>
        <w:rPr>
          <w:rFonts w:ascii="宋体" w:eastAsia="方正仿宋_GBK" w:hAnsi="宋体" w:cs="方正仿宋_GBK" w:hint="eastAsia"/>
          <w:sz w:val="32"/>
        </w:rPr>
        <w:t>113.24</w:t>
      </w:r>
      <w:r>
        <w:rPr>
          <w:rFonts w:ascii="宋体" w:eastAsia="方正仿宋_GBK" w:hAnsi="宋体" w:cs="方正仿宋_GBK" w:hint="eastAsia"/>
          <w:sz w:val="32"/>
        </w:rPr>
        <w:t>万元。其中：人员经费</w:t>
      </w:r>
      <w:r>
        <w:rPr>
          <w:rFonts w:ascii="宋体" w:eastAsia="方正仿宋_GBK" w:hAnsi="宋体" w:cs="方正仿宋_GBK" w:hint="eastAsia"/>
          <w:sz w:val="32"/>
        </w:rPr>
        <w:t>92.67</w:t>
      </w:r>
      <w:r>
        <w:rPr>
          <w:rFonts w:ascii="宋体" w:eastAsia="方正仿宋_GBK" w:hAnsi="宋体" w:cs="方正仿宋_GBK" w:hint="eastAsia"/>
          <w:sz w:val="32"/>
        </w:rPr>
        <w:t>万元，主要用于基本工资、津贴补贴、社会</w:t>
      </w:r>
      <w:r>
        <w:rPr>
          <w:rFonts w:ascii="宋体" w:eastAsia="方正仿宋_GBK" w:hAnsi="宋体" w:cs="方正仿宋_GBK" w:hint="eastAsia"/>
          <w:sz w:val="32"/>
        </w:rPr>
        <w:lastRenderedPageBreak/>
        <w:t>保障、公积金等，较上年决算数增加</w:t>
      </w:r>
      <w:r>
        <w:rPr>
          <w:rFonts w:ascii="宋体" w:eastAsia="方正仿宋_GBK" w:hAnsi="宋体" w:cs="方正仿宋_GBK" w:hint="eastAsia"/>
          <w:sz w:val="32"/>
        </w:rPr>
        <w:t>5.83</w:t>
      </w:r>
      <w:r>
        <w:rPr>
          <w:rFonts w:ascii="宋体" w:eastAsia="方正仿宋_GBK" w:hAnsi="宋体" w:cs="方正仿宋_GBK" w:hint="eastAsia"/>
          <w:sz w:val="32"/>
        </w:rPr>
        <w:t>万元，增长</w:t>
      </w:r>
      <w:r>
        <w:rPr>
          <w:rFonts w:ascii="宋体" w:eastAsia="方正仿宋_GBK" w:hAnsi="宋体" w:cs="方正仿宋_GBK" w:hint="eastAsia"/>
          <w:sz w:val="32"/>
        </w:rPr>
        <w:t>6.</w:t>
      </w:r>
      <w:r w:rsidR="002F29D3">
        <w:rPr>
          <w:rFonts w:ascii="宋体" w:eastAsia="方正仿宋_GBK" w:hAnsi="宋体" w:cs="方正仿宋_GBK" w:hint="eastAsia"/>
          <w:sz w:val="32"/>
        </w:rPr>
        <w:t>7</w:t>
      </w:r>
      <w:r>
        <w:rPr>
          <w:rFonts w:ascii="宋体" w:eastAsia="方正仿宋_GBK" w:hAnsi="宋体" w:cs="方正仿宋_GBK" w:hint="eastAsia"/>
          <w:sz w:val="32"/>
        </w:rPr>
        <w:t>%</w:t>
      </w:r>
      <w:r>
        <w:rPr>
          <w:rFonts w:ascii="宋体" w:eastAsia="方正仿宋_GBK" w:hAnsi="宋体" w:cs="方正仿宋_GBK" w:hint="eastAsia"/>
          <w:sz w:val="32"/>
        </w:rPr>
        <w:t>，主要是人员晋职晋级及政策性工资调标导致人员经费增加。公用经费</w:t>
      </w:r>
      <w:r>
        <w:rPr>
          <w:rFonts w:ascii="宋体" w:eastAsia="方正仿宋_GBK" w:hAnsi="宋体" w:cs="方正仿宋_GBK" w:hint="eastAsia"/>
          <w:sz w:val="32"/>
        </w:rPr>
        <w:t>20.57</w:t>
      </w:r>
      <w:r>
        <w:rPr>
          <w:rFonts w:ascii="宋体" w:eastAsia="方正仿宋_GBK" w:hAnsi="宋体" w:cs="方正仿宋_GBK" w:hint="eastAsia"/>
          <w:sz w:val="32"/>
        </w:rPr>
        <w:t>万元，主要用于</w:t>
      </w:r>
      <w:r>
        <w:rPr>
          <w:rFonts w:ascii="宋体" w:eastAsia="方正仿宋_GBK" w:hAnsi="宋体" w:cs="方正仿宋_GBK" w:hint="eastAsia"/>
          <w:sz w:val="32"/>
          <w:szCs w:val="32"/>
        </w:rPr>
        <w:t>办公及印刷费、邮电费、日常维护费等，</w:t>
      </w:r>
      <w:r>
        <w:rPr>
          <w:rFonts w:ascii="宋体" w:eastAsia="方正仿宋_GBK" w:hAnsi="宋体" w:cs="方正仿宋_GBK" w:hint="eastAsia"/>
          <w:sz w:val="32"/>
        </w:rPr>
        <w:t>较上年决算数减少</w:t>
      </w:r>
      <w:r>
        <w:rPr>
          <w:rFonts w:ascii="宋体" w:eastAsia="方正仿宋_GBK" w:hAnsi="宋体" w:cs="方正仿宋_GBK" w:hint="eastAsia"/>
          <w:sz w:val="32"/>
        </w:rPr>
        <w:t>0.32</w:t>
      </w:r>
      <w:r>
        <w:rPr>
          <w:rFonts w:ascii="宋体" w:eastAsia="方正仿宋_GBK" w:hAnsi="宋体" w:cs="方正仿宋_GBK" w:hint="eastAsia"/>
          <w:sz w:val="32"/>
        </w:rPr>
        <w:t>万元，减少</w:t>
      </w:r>
      <w:r>
        <w:rPr>
          <w:rFonts w:ascii="宋体" w:eastAsia="方正仿宋_GBK" w:hAnsi="宋体" w:cs="方正仿宋_GBK" w:hint="eastAsia"/>
          <w:sz w:val="32"/>
        </w:rPr>
        <w:t>1.56%</w:t>
      </w:r>
      <w:r>
        <w:rPr>
          <w:rFonts w:ascii="宋体" w:eastAsia="方正仿宋_GBK" w:hAnsi="宋体" w:cs="方正仿宋_GBK" w:hint="eastAsia"/>
          <w:sz w:val="32"/>
        </w:rPr>
        <w:t>，主要原因是贯彻落实区委区政府党政机关过紧日子苦日子要求节约开支。</w:t>
      </w:r>
    </w:p>
    <w:p w:rsidR="002C2456" w:rsidRDefault="00B66C2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2C2456" w:rsidRDefault="00B66C29">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度无政府性基金预算财政拨款收支</w:t>
      </w:r>
      <w:r>
        <w:rPr>
          <w:rFonts w:ascii="方正仿宋_GBK" w:eastAsia="方正仿宋_GBK" w:hAnsi="方正仿宋_GBK" w:cs="方正仿宋_GBK" w:hint="eastAsia"/>
          <w:sz w:val="32"/>
          <w:szCs w:val="32"/>
          <w:shd w:val="clear" w:color="auto" w:fill="FFFFFF"/>
        </w:rPr>
        <w:t>。</w:t>
      </w:r>
    </w:p>
    <w:p w:rsidR="002C2456" w:rsidRDefault="00B66C2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度无国有资本经营预算财政拨款支出。</w:t>
      </w:r>
    </w:p>
    <w:p w:rsidR="002C2456" w:rsidRDefault="00B66C29">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2C2456" w:rsidRDefault="00B66C2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Pr>
          <w:rFonts w:ascii="宋体" w:eastAsia="方正仿宋_GBK" w:hAnsi="宋体" w:cs="方正仿宋_GBK" w:hint="eastAsia"/>
          <w:sz w:val="32"/>
        </w:rPr>
        <w:t>0</w:t>
      </w:r>
      <w:r>
        <w:rPr>
          <w:rFonts w:ascii="宋体" w:eastAsia="方正仿宋_GBK" w:hAnsi="宋体" w:cs="方正仿宋_GBK" w:hint="eastAsia"/>
          <w:sz w:val="32"/>
        </w:rPr>
        <w:t>万元，较年初预算数减少</w:t>
      </w:r>
      <w:r>
        <w:rPr>
          <w:rFonts w:ascii="宋体" w:eastAsia="方正仿宋_GBK" w:hAnsi="宋体" w:cs="方正仿宋_GBK" w:hint="eastAsia"/>
          <w:sz w:val="32"/>
        </w:rPr>
        <w:t>0.2</w:t>
      </w:r>
      <w:r>
        <w:rPr>
          <w:rFonts w:ascii="宋体" w:eastAsia="方正仿宋_GBK" w:hAnsi="宋体" w:cs="方正仿宋_GBK" w:hint="eastAsia"/>
          <w:sz w:val="32"/>
        </w:rPr>
        <w:t>万元，下降</w:t>
      </w:r>
      <w:r>
        <w:rPr>
          <w:rFonts w:ascii="宋体" w:eastAsia="方正仿宋_GBK" w:hAnsi="宋体" w:cs="方正仿宋_GBK" w:hint="eastAsia"/>
          <w:sz w:val="32"/>
        </w:rPr>
        <w:t>100%</w:t>
      </w:r>
      <w:r>
        <w:rPr>
          <w:rFonts w:ascii="宋体" w:eastAsia="方正仿宋_GBK" w:hAnsi="宋体" w:cs="方正仿宋_GBK" w:hint="eastAsia"/>
          <w:sz w:val="32"/>
        </w:rPr>
        <w:t>，主要原因是贯彻落实区委区政府党政机关过紧日子苦日子要求节约开支。</w:t>
      </w:r>
    </w:p>
    <w:p w:rsidR="002C2456" w:rsidRDefault="00B66C2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（二）“三公”经费分项支出情况</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因公出国（境）费用</w:t>
      </w:r>
      <w:r>
        <w:rPr>
          <w:rFonts w:ascii="宋体" w:eastAsia="方正仿宋_GBK" w:hAnsi="宋体" w:cs="方正仿宋_GBK" w:hint="eastAsia"/>
          <w:sz w:val="32"/>
        </w:rPr>
        <w:t>0</w:t>
      </w:r>
      <w:r>
        <w:rPr>
          <w:rFonts w:ascii="宋体" w:eastAsia="方正仿宋_GBK" w:hAnsi="宋体" w:cs="方正仿宋_GBK" w:hint="eastAsia"/>
          <w:sz w:val="32"/>
        </w:rPr>
        <w:t>万元。主要原因是贯彻落实区委区政府党政机关过紧日子苦日子要求节约开支。</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公务车购置费用</w:t>
      </w:r>
      <w:r>
        <w:rPr>
          <w:rFonts w:ascii="宋体" w:eastAsia="方正仿宋_GBK" w:hAnsi="宋体" w:cs="方正仿宋_GBK" w:hint="eastAsia"/>
          <w:sz w:val="32"/>
        </w:rPr>
        <w:t>0</w:t>
      </w:r>
      <w:r>
        <w:rPr>
          <w:rFonts w:ascii="宋体" w:eastAsia="方正仿宋_GBK" w:hAnsi="宋体" w:cs="方正仿宋_GBK" w:hint="eastAsia"/>
          <w:sz w:val="32"/>
        </w:rPr>
        <w:t>万元。主要原因是贯彻落实区委区政府党政机关过紧日子苦日子要求节约开支。</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本单位无公务车辆，</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highlight w:val="yellow"/>
        </w:rPr>
      </w:pPr>
      <w:r>
        <w:rPr>
          <w:rFonts w:ascii="宋体" w:eastAsia="方正仿宋_GBK" w:hAnsi="宋体" w:cs="方正仿宋_GBK" w:hint="eastAsia"/>
          <w:sz w:val="32"/>
        </w:rPr>
        <w:t>公务接待费</w:t>
      </w:r>
      <w:r>
        <w:rPr>
          <w:rFonts w:ascii="宋体" w:eastAsia="方正仿宋_GBK" w:hAnsi="宋体" w:cs="方正仿宋_GBK" w:hint="eastAsia"/>
          <w:sz w:val="32"/>
        </w:rPr>
        <w:t>0</w:t>
      </w:r>
      <w:r>
        <w:rPr>
          <w:rFonts w:ascii="宋体" w:eastAsia="方正仿宋_GBK" w:hAnsi="宋体" w:cs="方正仿宋_GBK" w:hint="eastAsia"/>
          <w:sz w:val="32"/>
        </w:rPr>
        <w:t>万元。费用支出较年初预算数减少</w:t>
      </w:r>
      <w:r>
        <w:rPr>
          <w:rFonts w:ascii="宋体" w:eastAsia="方正仿宋_GBK" w:hAnsi="宋体" w:cs="方正仿宋_GBK" w:hint="eastAsia"/>
          <w:sz w:val="32"/>
        </w:rPr>
        <w:t>0.2</w:t>
      </w:r>
      <w:r>
        <w:rPr>
          <w:rFonts w:ascii="宋体" w:eastAsia="方正仿宋_GBK" w:hAnsi="宋体" w:cs="方正仿宋_GBK" w:hint="eastAsia"/>
          <w:sz w:val="32"/>
        </w:rPr>
        <w:t>万元，主要原因是贯彻落实区委区政府党政机关过紧日子苦日子要求节约开支。</w:t>
      </w:r>
    </w:p>
    <w:p w:rsidR="002C2456" w:rsidRDefault="00B66C29">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lastRenderedPageBreak/>
        <w:t>（三）“三公”经费实物量情况</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年度本部门因公出国（境）共计</w:t>
      </w:r>
      <w:r>
        <w:rPr>
          <w:rFonts w:ascii="宋体" w:eastAsia="方正仿宋_GBK" w:hAnsi="宋体" w:cs="方正仿宋_GBK" w:hint="eastAsia"/>
          <w:sz w:val="32"/>
        </w:rPr>
        <w:t>0</w:t>
      </w:r>
      <w:r>
        <w:rPr>
          <w:rFonts w:ascii="宋体" w:eastAsia="方正仿宋_GBK" w:hAnsi="宋体" w:cs="方正仿宋_GBK" w:hint="eastAsia"/>
          <w:sz w:val="32"/>
        </w:rPr>
        <w:t>个团组，</w:t>
      </w:r>
      <w:r>
        <w:rPr>
          <w:rFonts w:ascii="宋体" w:eastAsia="方正仿宋_GBK" w:hAnsi="宋体" w:cs="方正仿宋_GBK" w:hint="eastAsia"/>
          <w:sz w:val="32"/>
        </w:rPr>
        <w:t>0</w:t>
      </w:r>
      <w:r>
        <w:rPr>
          <w:rFonts w:ascii="宋体" w:eastAsia="方正仿宋_GBK" w:hAnsi="宋体" w:cs="方正仿宋_GBK" w:hint="eastAsia"/>
          <w:sz w:val="32"/>
        </w:rPr>
        <w:t>人；公务用车购置</w:t>
      </w:r>
      <w:r>
        <w:rPr>
          <w:rFonts w:ascii="宋体" w:eastAsia="方正仿宋_GBK" w:hAnsi="宋体" w:cs="方正仿宋_GBK" w:hint="eastAsia"/>
          <w:sz w:val="32"/>
        </w:rPr>
        <w:t>0</w:t>
      </w:r>
      <w:r>
        <w:rPr>
          <w:rFonts w:ascii="宋体" w:eastAsia="方正仿宋_GBK" w:hAnsi="宋体" w:cs="方正仿宋_GBK" w:hint="eastAsia"/>
          <w:sz w:val="32"/>
        </w:rPr>
        <w:t>辆，公务车保有量为</w:t>
      </w:r>
      <w:r>
        <w:rPr>
          <w:rFonts w:ascii="宋体" w:eastAsia="方正仿宋_GBK" w:hAnsi="宋体" w:cs="方正仿宋_GBK" w:hint="eastAsia"/>
          <w:sz w:val="32"/>
        </w:rPr>
        <w:t>0</w:t>
      </w:r>
      <w:r>
        <w:rPr>
          <w:rFonts w:ascii="宋体" w:eastAsia="方正仿宋_GBK" w:hAnsi="宋体" w:cs="方正仿宋_GBK" w:hint="eastAsia"/>
          <w:sz w:val="32"/>
        </w:rPr>
        <w:t>辆；国内公务接待</w:t>
      </w:r>
      <w:r>
        <w:rPr>
          <w:rFonts w:ascii="宋体" w:eastAsia="方正仿宋_GBK" w:hAnsi="宋体" w:cs="方正仿宋_GBK" w:hint="eastAsia"/>
          <w:sz w:val="32"/>
        </w:rPr>
        <w:t>0</w:t>
      </w:r>
      <w:r>
        <w:rPr>
          <w:rFonts w:ascii="宋体" w:eastAsia="方正仿宋_GBK" w:hAnsi="宋体" w:cs="方正仿宋_GBK" w:hint="eastAsia"/>
          <w:sz w:val="32"/>
        </w:rPr>
        <w:t>批次</w:t>
      </w:r>
      <w:r>
        <w:rPr>
          <w:rFonts w:ascii="宋体" w:eastAsia="方正仿宋_GBK" w:hAnsi="宋体" w:cs="方正仿宋_GBK" w:hint="eastAsia"/>
          <w:sz w:val="32"/>
        </w:rPr>
        <w:t>0</w:t>
      </w:r>
      <w:r>
        <w:rPr>
          <w:rFonts w:ascii="宋体" w:eastAsia="方正仿宋_GBK" w:hAnsi="宋体" w:cs="方正仿宋_GBK" w:hint="eastAsia"/>
          <w:sz w:val="32"/>
        </w:rPr>
        <w:t>人，其中：国内外事接待</w:t>
      </w:r>
      <w:r>
        <w:rPr>
          <w:rFonts w:ascii="宋体" w:eastAsia="方正仿宋_GBK" w:hAnsi="宋体" w:cs="方正仿宋_GBK" w:hint="eastAsia"/>
          <w:sz w:val="32"/>
        </w:rPr>
        <w:t>0</w:t>
      </w:r>
      <w:r>
        <w:rPr>
          <w:rFonts w:ascii="宋体" w:eastAsia="方正仿宋_GBK" w:hAnsi="宋体" w:cs="方正仿宋_GBK" w:hint="eastAsia"/>
          <w:sz w:val="32"/>
        </w:rPr>
        <w:t>批次，</w:t>
      </w:r>
      <w:r>
        <w:rPr>
          <w:rFonts w:ascii="宋体" w:eastAsia="方正仿宋_GBK" w:hAnsi="宋体" w:cs="方正仿宋_GBK" w:hint="eastAsia"/>
          <w:sz w:val="32"/>
        </w:rPr>
        <w:t>0</w:t>
      </w:r>
      <w:r>
        <w:rPr>
          <w:rFonts w:ascii="宋体" w:eastAsia="方正仿宋_GBK" w:hAnsi="宋体" w:cs="方正仿宋_GBK" w:hint="eastAsia"/>
          <w:sz w:val="32"/>
        </w:rPr>
        <w:t>人；国（境）外公务接待</w:t>
      </w:r>
      <w:r>
        <w:rPr>
          <w:rFonts w:ascii="宋体" w:eastAsia="方正仿宋_GBK" w:hAnsi="宋体" w:cs="方正仿宋_GBK" w:hint="eastAsia"/>
          <w:sz w:val="32"/>
        </w:rPr>
        <w:t>0</w:t>
      </w:r>
      <w:r>
        <w:rPr>
          <w:rFonts w:ascii="宋体" w:eastAsia="方正仿宋_GBK" w:hAnsi="宋体" w:cs="方正仿宋_GBK" w:hint="eastAsia"/>
          <w:sz w:val="32"/>
        </w:rPr>
        <w:t>批次，</w:t>
      </w:r>
      <w:r>
        <w:rPr>
          <w:rFonts w:ascii="宋体" w:eastAsia="方正仿宋_GBK" w:hAnsi="宋体" w:cs="方正仿宋_GBK" w:hint="eastAsia"/>
          <w:sz w:val="32"/>
        </w:rPr>
        <w:t>0</w:t>
      </w:r>
      <w:r>
        <w:rPr>
          <w:rFonts w:ascii="宋体" w:eastAsia="方正仿宋_GBK" w:hAnsi="宋体" w:cs="方正仿宋_GBK" w:hint="eastAsia"/>
          <w:sz w:val="32"/>
        </w:rPr>
        <w:t>人。人均接待费</w:t>
      </w:r>
      <w:r>
        <w:rPr>
          <w:rFonts w:ascii="宋体" w:eastAsia="方正仿宋_GBK" w:hAnsi="宋体" w:cs="方正仿宋_GBK" w:hint="eastAsia"/>
          <w:sz w:val="32"/>
        </w:rPr>
        <w:t>0</w:t>
      </w:r>
      <w:r>
        <w:rPr>
          <w:rFonts w:ascii="宋体" w:eastAsia="方正仿宋_GBK" w:hAnsi="宋体" w:cs="方正仿宋_GBK" w:hint="eastAsia"/>
          <w:sz w:val="32"/>
        </w:rPr>
        <w:t>元，车均购置费</w:t>
      </w:r>
      <w:r>
        <w:rPr>
          <w:rFonts w:ascii="宋体" w:eastAsia="方正仿宋_GBK" w:hAnsi="宋体" w:cs="方正仿宋_GBK" w:hint="eastAsia"/>
          <w:sz w:val="32"/>
        </w:rPr>
        <w:t>0</w:t>
      </w:r>
      <w:r>
        <w:rPr>
          <w:rFonts w:ascii="宋体" w:eastAsia="方正仿宋_GBK" w:hAnsi="宋体" w:cs="方正仿宋_GBK" w:hint="eastAsia"/>
          <w:sz w:val="32"/>
        </w:rPr>
        <w:t>万元，车均维护费</w:t>
      </w:r>
      <w:r>
        <w:rPr>
          <w:rFonts w:ascii="宋体" w:eastAsia="方正仿宋_GBK" w:hAnsi="宋体" w:cs="方正仿宋_GBK" w:hint="eastAsia"/>
          <w:sz w:val="32"/>
        </w:rPr>
        <w:t>0</w:t>
      </w:r>
      <w:r>
        <w:rPr>
          <w:rFonts w:ascii="宋体" w:eastAsia="方正仿宋_GBK" w:hAnsi="宋体" w:cs="方正仿宋_GBK" w:hint="eastAsia"/>
          <w:sz w:val="32"/>
        </w:rPr>
        <w:t>万元。</w:t>
      </w:r>
    </w:p>
    <w:p w:rsidR="002C2456" w:rsidRDefault="00B66C29">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四、其他需要说明的事项</w:t>
      </w:r>
    </w:p>
    <w:p w:rsidR="002C2456" w:rsidRDefault="00B66C2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2C2456" w:rsidRDefault="00B66C29">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sz w:val="32"/>
          <w:szCs w:val="32"/>
          <w:shd w:val="clear" w:color="auto" w:fill="FFFFFF"/>
        </w:rPr>
        <w:t>年度会议费支出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w:t>
      </w:r>
      <w:r>
        <w:rPr>
          <w:rFonts w:ascii="宋体" w:eastAsia="方正仿宋_GBK" w:hAnsi="宋体" w:cs="方正仿宋_GBK" w:hint="eastAsia"/>
          <w:sz w:val="32"/>
        </w:rPr>
        <w:t>主要原因是贯彻落实区委区政府党政机关过紧日子苦日子要求节约开支。</w:t>
      </w:r>
    </w:p>
    <w:p w:rsidR="002C2456" w:rsidRDefault="00B66C2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2C2456" w:rsidRDefault="00B66C29">
      <w:pPr>
        <w:spacing w:line="579" w:lineRule="exact"/>
        <w:ind w:firstLineChars="150" w:firstLine="480"/>
        <w:rPr>
          <w:rFonts w:ascii="宋体" w:eastAsia="方正仿宋_GBK" w:hAnsi="宋体" w:cs="方正仿宋_GBK"/>
          <w:kern w:val="0"/>
          <w:sz w:val="32"/>
          <w:szCs w:val="32"/>
        </w:rPr>
      </w:pPr>
      <w:r>
        <w:rPr>
          <w:rFonts w:ascii="宋体" w:eastAsia="方正仿宋_GBK" w:hAnsi="宋体" w:cs="方正仿宋_GBK" w:hint="eastAsia"/>
          <w:kern w:val="0"/>
          <w:sz w:val="32"/>
          <w:szCs w:val="32"/>
        </w:rPr>
        <w:t>2024</w:t>
      </w:r>
      <w:r>
        <w:rPr>
          <w:rFonts w:ascii="宋体" w:eastAsia="方正仿宋_GBK" w:hAnsi="宋体" w:cs="方正仿宋_GBK" w:hint="eastAsia"/>
          <w:kern w:val="0"/>
          <w:sz w:val="32"/>
          <w:szCs w:val="32"/>
        </w:rPr>
        <w:t>年度本部门机关运行经费支出</w:t>
      </w:r>
      <w:r>
        <w:rPr>
          <w:rFonts w:ascii="宋体" w:eastAsia="方正仿宋_GBK" w:hAnsi="宋体" w:cs="方正仿宋_GBK" w:hint="eastAsia"/>
          <w:kern w:val="0"/>
          <w:sz w:val="32"/>
          <w:szCs w:val="32"/>
        </w:rPr>
        <w:t>20.57</w:t>
      </w:r>
      <w:r>
        <w:rPr>
          <w:rFonts w:ascii="宋体" w:eastAsia="方正仿宋_GBK" w:hAnsi="宋体" w:cs="方正仿宋_GBK" w:hint="eastAsia"/>
          <w:kern w:val="0"/>
          <w:sz w:val="32"/>
          <w:szCs w:val="32"/>
        </w:rPr>
        <w:t>万元，较上年减少</w:t>
      </w:r>
      <w:r>
        <w:rPr>
          <w:rFonts w:ascii="宋体" w:eastAsia="方正仿宋_GBK" w:hAnsi="宋体" w:cs="方正仿宋_GBK" w:hint="eastAsia"/>
          <w:kern w:val="0"/>
          <w:sz w:val="32"/>
          <w:szCs w:val="32"/>
        </w:rPr>
        <w:t>0.32</w:t>
      </w:r>
      <w:r>
        <w:rPr>
          <w:rFonts w:ascii="宋体" w:eastAsia="方正仿宋_GBK" w:hAnsi="宋体" w:cs="方正仿宋_GBK" w:hint="eastAsia"/>
          <w:kern w:val="0"/>
          <w:sz w:val="32"/>
          <w:szCs w:val="32"/>
        </w:rPr>
        <w:t>万元，下降</w:t>
      </w:r>
      <w:r>
        <w:rPr>
          <w:rFonts w:ascii="宋体" w:eastAsia="方正仿宋_GBK" w:hAnsi="宋体" w:cs="方正仿宋_GBK" w:hint="eastAsia"/>
          <w:kern w:val="0"/>
          <w:sz w:val="32"/>
          <w:szCs w:val="32"/>
        </w:rPr>
        <w:t>1.56%</w:t>
      </w:r>
      <w:r>
        <w:rPr>
          <w:rFonts w:ascii="宋体" w:eastAsia="方正仿宋_GBK" w:hAnsi="宋体" w:cs="方正仿宋_GBK" w:hint="eastAsia"/>
          <w:kern w:val="0"/>
          <w:sz w:val="32"/>
          <w:szCs w:val="32"/>
        </w:rPr>
        <w:t>，主是是贯彻落实区委区政府党政机关过紧日子苦日子要求。比年初预算数减少</w:t>
      </w:r>
      <w:r>
        <w:rPr>
          <w:rFonts w:ascii="宋体" w:eastAsia="方正仿宋_GBK" w:hAnsi="宋体" w:cs="方正仿宋_GBK" w:hint="eastAsia"/>
          <w:kern w:val="0"/>
          <w:sz w:val="32"/>
          <w:szCs w:val="32"/>
        </w:rPr>
        <w:t>1.02</w:t>
      </w:r>
      <w:r>
        <w:rPr>
          <w:rFonts w:ascii="宋体" w:eastAsia="方正仿宋_GBK" w:hAnsi="宋体" w:cs="方正仿宋_GBK" w:hint="eastAsia"/>
          <w:kern w:val="0"/>
          <w:sz w:val="32"/>
          <w:szCs w:val="32"/>
        </w:rPr>
        <w:t>万元，下降</w:t>
      </w:r>
      <w:r>
        <w:rPr>
          <w:rFonts w:ascii="宋体" w:eastAsia="方正仿宋_GBK" w:hAnsi="宋体" w:cs="方正仿宋_GBK" w:hint="eastAsia"/>
          <w:kern w:val="0"/>
          <w:sz w:val="32"/>
          <w:szCs w:val="32"/>
        </w:rPr>
        <w:t>4.96%</w:t>
      </w:r>
      <w:r>
        <w:rPr>
          <w:rFonts w:ascii="宋体" w:eastAsia="方正仿宋_GBK" w:hAnsi="宋体" w:cs="方正仿宋_GBK" w:hint="eastAsia"/>
          <w:kern w:val="0"/>
          <w:sz w:val="32"/>
          <w:szCs w:val="32"/>
        </w:rPr>
        <w:t>，</w:t>
      </w:r>
      <w:r>
        <w:rPr>
          <w:rFonts w:ascii="宋体" w:eastAsia="方正仿宋_GBK" w:hAnsi="宋体" w:cs="方正仿宋_GBK" w:hint="eastAsia"/>
          <w:sz w:val="32"/>
        </w:rPr>
        <w:t>主要原因是贯彻落实区委区政府党政机关过紧日子苦日子要求节约开支</w:t>
      </w:r>
      <w:r>
        <w:rPr>
          <w:rFonts w:ascii="宋体" w:eastAsia="方正仿宋_GBK" w:hAnsi="宋体" w:cs="方正仿宋_GBK" w:hint="eastAsia"/>
          <w:kern w:val="0"/>
          <w:sz w:val="32"/>
          <w:szCs w:val="32"/>
        </w:rPr>
        <w:t>。机关运动经费主要用于办公费、印刷费、水费、电费、物业费、维修费、委托业务费、交通费等。</w:t>
      </w:r>
    </w:p>
    <w:p w:rsidR="002C2456" w:rsidRDefault="00B66C2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辆。其中：副部（省）级及以上领导用车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辆，主要负责人用车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辆，执法执勤用车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辆，特种专业技术用车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辆，离退休干部服务用车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万元（含）以上设备（不含车辆）</w:t>
      </w:r>
      <w:r>
        <w:rPr>
          <w:rFonts w:ascii="宋体" w:eastAsia="方正仿宋_GBK" w:hAnsi="宋体" w:cs="方正仿宋_GBK" w:hint="eastAsia"/>
          <w:sz w:val="32"/>
          <w:szCs w:val="32"/>
        </w:rPr>
        <w:t>0</w:t>
      </w:r>
      <w:r>
        <w:rPr>
          <w:rFonts w:ascii="宋体" w:eastAsia="方正仿宋_GBK" w:hAnsi="宋体" w:cs="方正仿宋_GBK" w:hint="eastAsia"/>
          <w:sz w:val="32"/>
          <w:szCs w:val="32"/>
        </w:rPr>
        <w:t>台（套）。</w:t>
      </w:r>
    </w:p>
    <w:p w:rsidR="002C2456" w:rsidRDefault="00B66C2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2C2456" w:rsidRDefault="00B66C2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szCs w:val="32"/>
        </w:rPr>
        <w:lastRenderedPageBreak/>
        <w:t>2024</w:t>
      </w:r>
      <w:r>
        <w:rPr>
          <w:rFonts w:ascii="宋体" w:eastAsia="方正仿宋_GBK" w:hAnsi="宋体" w:cs="方正仿宋_GBK" w:hint="eastAsia"/>
          <w:sz w:val="32"/>
          <w:szCs w:val="32"/>
        </w:rPr>
        <w:t>年度本部门政府采购支出总额</w:t>
      </w:r>
      <w:r>
        <w:rPr>
          <w:rFonts w:ascii="宋体" w:eastAsia="方正仿宋_GBK" w:hAnsi="宋体" w:cs="方正仿宋_GBK" w:hint="eastAsia"/>
          <w:sz w:val="32"/>
          <w:szCs w:val="32"/>
        </w:rPr>
        <w:t>1.80</w:t>
      </w:r>
      <w:r>
        <w:rPr>
          <w:rFonts w:ascii="宋体" w:eastAsia="方正仿宋_GBK" w:hAnsi="宋体" w:cs="方正仿宋_GBK" w:hint="eastAsia"/>
          <w:sz w:val="32"/>
          <w:szCs w:val="32"/>
        </w:rPr>
        <w:t>万元，其中：政府采购货物支出</w:t>
      </w:r>
      <w:r>
        <w:rPr>
          <w:rFonts w:ascii="宋体" w:eastAsia="方正仿宋_GBK" w:hAnsi="宋体" w:cs="方正仿宋_GBK" w:hint="eastAsia"/>
          <w:sz w:val="32"/>
          <w:szCs w:val="32"/>
        </w:rPr>
        <w:t>1.80</w:t>
      </w:r>
      <w:r>
        <w:rPr>
          <w:rFonts w:ascii="宋体" w:eastAsia="方正仿宋_GBK" w:hAnsi="宋体" w:cs="方正仿宋_GBK" w:hint="eastAsia"/>
          <w:sz w:val="32"/>
          <w:szCs w:val="32"/>
        </w:rPr>
        <w:t>万元、政府采购工程支出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万元、政府采购服务支出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万元。授予中小企业合同金额</w:t>
      </w:r>
      <w:r>
        <w:rPr>
          <w:rFonts w:ascii="宋体" w:eastAsia="方正仿宋_GBK" w:hAnsi="宋体" w:cs="方正仿宋_GBK" w:hint="eastAsia"/>
          <w:sz w:val="32"/>
          <w:szCs w:val="32"/>
        </w:rPr>
        <w:t>1.80</w:t>
      </w:r>
      <w:r>
        <w:rPr>
          <w:rFonts w:ascii="宋体" w:eastAsia="方正仿宋_GBK" w:hAnsi="宋体" w:cs="方正仿宋_GBK" w:hint="eastAsia"/>
          <w:sz w:val="32"/>
          <w:szCs w:val="32"/>
        </w:rPr>
        <w:t>万元，占政府采购支出总额的</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，其中：授予小微企业合同金额</w:t>
      </w:r>
      <w:r>
        <w:rPr>
          <w:rFonts w:ascii="宋体" w:eastAsia="方正仿宋_GBK" w:hAnsi="宋体" w:cs="方正仿宋_GBK" w:hint="eastAsia"/>
          <w:sz w:val="32"/>
          <w:szCs w:val="32"/>
        </w:rPr>
        <w:t>1.80</w:t>
      </w:r>
      <w:r>
        <w:rPr>
          <w:rFonts w:ascii="宋体" w:eastAsia="方正仿宋_GBK" w:hAnsi="宋体" w:cs="方正仿宋_GBK" w:hint="eastAsia"/>
          <w:sz w:val="32"/>
          <w:szCs w:val="32"/>
        </w:rPr>
        <w:t>万元，占政府采购支出总额的</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宋体" w:eastAsia="方正仿宋_GBK" w:hAnsi="宋体" w:cs="方正仿宋_GBK" w:hint="eastAsia"/>
          <w:sz w:val="32"/>
        </w:rPr>
        <w:t>主要用于采购电脑，打印纸等。</w:t>
      </w:r>
    </w:p>
    <w:p w:rsidR="002C2456" w:rsidRDefault="00B66C29">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2C2456" w:rsidRDefault="00B66C29">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2C2456" w:rsidRDefault="00B66C29">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根据预算绩效管理要求，我站对</w:t>
      </w:r>
      <w:r>
        <w:rPr>
          <w:rFonts w:ascii="宋体" w:eastAsia="方正仿宋_GBK" w:hAnsi="宋体" w:cs="方正仿宋_GBK" w:hint="eastAsia"/>
          <w:sz w:val="32"/>
          <w:szCs w:val="32"/>
        </w:rPr>
        <w:t>4</w:t>
      </w:r>
      <w:r>
        <w:rPr>
          <w:rFonts w:ascii="宋体" w:eastAsia="方正仿宋_GBK" w:hAnsi="宋体" w:cs="方正仿宋_GBK" w:hint="eastAsia"/>
          <w:sz w:val="32"/>
          <w:szCs w:val="32"/>
        </w:rPr>
        <w:t>个项目开展了绩效自评，其中，以填报目标自评表形式开展自评</w:t>
      </w:r>
      <w:r w:rsidR="001554B3">
        <w:rPr>
          <w:rFonts w:ascii="宋体" w:eastAsia="方正仿宋_GBK" w:hAnsi="宋体" w:cs="方正仿宋_GBK" w:hint="eastAsia"/>
          <w:sz w:val="32"/>
          <w:szCs w:val="32"/>
        </w:rPr>
        <w:t>4</w:t>
      </w:r>
      <w:r>
        <w:rPr>
          <w:rFonts w:ascii="宋体" w:eastAsia="方正仿宋_GBK" w:hAnsi="宋体" w:cs="方正仿宋_GBK" w:hint="eastAsia"/>
          <w:sz w:val="32"/>
          <w:szCs w:val="32"/>
        </w:rPr>
        <w:t>项，涉及资金</w:t>
      </w:r>
      <w:r w:rsidRPr="002F29D3">
        <w:rPr>
          <w:rFonts w:ascii="宋体" w:eastAsia="方正仿宋_GBK" w:hAnsi="宋体" w:cs="方正仿宋_GBK"/>
          <w:sz w:val="32"/>
          <w:szCs w:val="32"/>
        </w:rPr>
        <w:t>76</w:t>
      </w:r>
      <w:r w:rsidRPr="002F29D3">
        <w:rPr>
          <w:rFonts w:ascii="宋体" w:eastAsia="方正仿宋_GBK" w:hAnsi="宋体" w:cs="方正仿宋_GBK" w:hint="eastAsia"/>
          <w:sz w:val="32"/>
          <w:szCs w:val="32"/>
        </w:rPr>
        <w:t>.</w:t>
      </w:r>
      <w:r w:rsidRPr="002F29D3">
        <w:rPr>
          <w:rFonts w:ascii="宋体" w:eastAsia="方正仿宋_GBK" w:hAnsi="宋体" w:cs="方正仿宋_GBK"/>
          <w:sz w:val="32"/>
          <w:szCs w:val="32"/>
        </w:rPr>
        <w:t>83</w:t>
      </w:r>
      <w:r>
        <w:rPr>
          <w:rFonts w:ascii="宋体" w:eastAsia="方正仿宋_GBK" w:hAnsi="宋体" w:cs="方正仿宋_GBK" w:hint="eastAsia"/>
          <w:sz w:val="32"/>
          <w:szCs w:val="32"/>
        </w:rPr>
        <w:t>万元。</w:t>
      </w:r>
    </w:p>
    <w:p w:rsidR="002C2456" w:rsidRDefault="00B66C29">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2C2456" w:rsidRDefault="00B66C29">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2C2456" w:rsidRDefault="00B66C2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1</w:t>
      </w:r>
      <w:r>
        <w:rPr>
          <w:rFonts w:ascii="宋体" w:eastAsia="方正仿宋_GBK" w:hAnsi="宋体" w:cs="方正仿宋_GBK" w:hint="eastAsia"/>
          <w:kern w:val="0"/>
          <w:sz w:val="32"/>
          <w:szCs w:val="32"/>
        </w:rPr>
        <w:t>）公开范围。我单位无重点专项项目，选择一个一般性项目绩效自评表进行公开。</w:t>
      </w:r>
    </w:p>
    <w:p w:rsidR="002C2456" w:rsidRDefault="00B66C2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）公开内容。详见表格。</w:t>
      </w:r>
    </w:p>
    <w:p w:rsidR="002C2456" w:rsidRDefault="00B66C29">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2024年度部门整体绩效自评表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968"/>
        <w:gridCol w:w="708"/>
        <w:gridCol w:w="709"/>
        <w:gridCol w:w="366"/>
        <w:gridCol w:w="342"/>
        <w:gridCol w:w="704"/>
        <w:gridCol w:w="153"/>
        <w:gridCol w:w="1255"/>
        <w:gridCol w:w="816"/>
        <w:gridCol w:w="1404"/>
        <w:gridCol w:w="1236"/>
        <w:gridCol w:w="836"/>
      </w:tblGrid>
      <w:tr w:rsidR="002C2456" w:rsidTr="007A24E7">
        <w:trPr>
          <w:trHeight w:val="922"/>
          <w:jc w:val="center"/>
        </w:trPr>
        <w:tc>
          <w:tcPr>
            <w:tcW w:w="635"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797" w:type="dxa"/>
            <w:gridSpan w:val="6"/>
            <w:tcBorders>
              <w:tl2br w:val="nil"/>
              <w:tr2bl w:val="nil"/>
            </w:tcBorders>
            <w:noWrap/>
            <w:vAlign w:val="center"/>
          </w:tcPr>
          <w:p w:rsidR="002C2456" w:rsidRDefault="00B66C29" w:rsidP="001554B3">
            <w:pPr>
              <w:widowControl/>
              <w:spacing w:line="36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江津区城镇供水水质监测</w:t>
            </w:r>
          </w:p>
        </w:tc>
        <w:tc>
          <w:tcPr>
            <w:tcW w:w="1408" w:type="dxa"/>
            <w:gridSpan w:val="2"/>
            <w:tcBorders>
              <w:tl2br w:val="nil"/>
              <w:tr2bl w:val="nil"/>
            </w:tcBorders>
            <w:noWrap/>
            <w:vAlign w:val="center"/>
          </w:tcPr>
          <w:p w:rsidR="002C2456" w:rsidRDefault="00B66C29" w:rsidP="001554B3">
            <w:pPr>
              <w:widowControl/>
              <w:spacing w:line="36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自评总分</w:t>
            </w:r>
          </w:p>
          <w:p w:rsidR="002C2456" w:rsidRDefault="00B66C29" w:rsidP="001554B3">
            <w:pPr>
              <w:widowControl/>
              <w:spacing w:line="36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4292" w:type="dxa"/>
            <w:gridSpan w:val="4"/>
            <w:tcBorders>
              <w:tl2br w:val="nil"/>
              <w:tr2bl w:val="nil"/>
            </w:tcBorders>
            <w:noWrap/>
            <w:vAlign w:val="center"/>
          </w:tcPr>
          <w:p w:rsidR="002C2456" w:rsidRDefault="00B66C29" w:rsidP="001554B3">
            <w:pPr>
              <w:widowControl/>
              <w:spacing w:line="360" w:lineRule="exact"/>
              <w:ind w:firstLineChars="700" w:firstLine="1680"/>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r>
      <w:tr w:rsidR="002C2456" w:rsidTr="007A24E7">
        <w:trPr>
          <w:trHeight w:val="1518"/>
          <w:jc w:val="center"/>
        </w:trPr>
        <w:tc>
          <w:tcPr>
            <w:tcW w:w="635"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项目主管</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676" w:type="dxa"/>
            <w:gridSpan w:val="2"/>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403-</w:t>
            </w:r>
            <w:r>
              <w:rPr>
                <w:rFonts w:ascii="宋体" w:eastAsia="方正仿宋_GBK" w:hAnsi="宋体" w:cs="方正仿宋_GBK" w:hint="eastAsia"/>
                <w:color w:val="000000"/>
                <w:kern w:val="0"/>
                <w:sz w:val="24"/>
                <w:szCs w:val="24"/>
              </w:rPr>
              <w:t>重庆市江津区城市管理局</w:t>
            </w:r>
          </w:p>
        </w:tc>
        <w:tc>
          <w:tcPr>
            <w:tcW w:w="1075" w:type="dxa"/>
            <w:gridSpan w:val="2"/>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046" w:type="dxa"/>
            <w:gridSpan w:val="2"/>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004-</w:t>
            </w:r>
            <w:r>
              <w:rPr>
                <w:rFonts w:ascii="宋体" w:eastAsia="方正仿宋_GBK" w:hAnsi="宋体" w:cs="方正仿宋_GBK" w:hint="eastAsia"/>
                <w:color w:val="000000"/>
                <w:kern w:val="0"/>
                <w:sz w:val="24"/>
                <w:szCs w:val="24"/>
              </w:rPr>
              <w:t>经济建设科</w:t>
            </w:r>
          </w:p>
        </w:tc>
        <w:tc>
          <w:tcPr>
            <w:tcW w:w="1408" w:type="dxa"/>
            <w:gridSpan w:val="2"/>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816" w:type="dxa"/>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张琴</w:t>
            </w:r>
          </w:p>
        </w:tc>
        <w:tc>
          <w:tcPr>
            <w:tcW w:w="1404" w:type="dxa"/>
            <w:tcBorders>
              <w:tl2br w:val="nil"/>
              <w:tr2bl w:val="nil"/>
            </w:tcBorders>
            <w:noWrap/>
            <w:vAlign w:val="center"/>
          </w:tcPr>
          <w:p w:rsidR="002C2456" w:rsidRDefault="00B66C29" w:rsidP="001554B3">
            <w:pPr>
              <w:widowControl/>
              <w:spacing w:line="40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2072" w:type="dxa"/>
            <w:gridSpan w:val="2"/>
            <w:tcBorders>
              <w:tl2br w:val="nil"/>
              <w:tr2bl w:val="nil"/>
            </w:tcBorders>
            <w:noWrap/>
            <w:vAlign w:val="center"/>
          </w:tcPr>
          <w:p w:rsidR="002C2456" w:rsidRDefault="00B66C29" w:rsidP="001554B3">
            <w:pPr>
              <w:widowControl/>
              <w:spacing w:line="40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13996426987</w:t>
            </w:r>
          </w:p>
        </w:tc>
      </w:tr>
      <w:tr w:rsidR="002C2456" w:rsidTr="007A24E7">
        <w:trPr>
          <w:trHeight w:val="986"/>
          <w:jc w:val="center"/>
        </w:trPr>
        <w:tc>
          <w:tcPr>
            <w:tcW w:w="635" w:type="dxa"/>
            <w:vMerge w:val="restart"/>
            <w:tcBorders>
              <w:tl2br w:val="nil"/>
              <w:tr2bl w:val="nil"/>
            </w:tcBorders>
            <w:noWrap/>
            <w:textDirection w:val="tbRlV"/>
            <w:vAlign w:val="center"/>
          </w:tcPr>
          <w:p w:rsidR="002C2456" w:rsidRDefault="00B66C29" w:rsidP="007A24E7">
            <w:pPr>
              <w:widowControl/>
              <w:spacing w:line="240"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项目资金（万元）</w:t>
            </w:r>
          </w:p>
        </w:tc>
        <w:tc>
          <w:tcPr>
            <w:tcW w:w="1676" w:type="dxa"/>
            <w:gridSpan w:val="2"/>
            <w:vMerge w:val="restart"/>
            <w:tcBorders>
              <w:tl2br w:val="nil"/>
              <w:tr2bl w:val="nil"/>
            </w:tcBorders>
            <w:noWrap/>
            <w:vAlign w:val="center"/>
          </w:tcPr>
          <w:p w:rsidR="002C2456" w:rsidRDefault="00B66C29" w:rsidP="007A24E7">
            <w:pPr>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75" w:type="dxa"/>
            <w:gridSpan w:val="2"/>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046" w:type="dxa"/>
            <w:gridSpan w:val="2"/>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224" w:type="dxa"/>
            <w:gridSpan w:val="3"/>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404"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236"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836"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2C2456" w:rsidTr="007A24E7">
        <w:trPr>
          <w:trHeight w:val="405"/>
          <w:jc w:val="center"/>
        </w:trPr>
        <w:tc>
          <w:tcPr>
            <w:tcW w:w="635" w:type="dxa"/>
            <w:vMerge/>
            <w:tcBorders>
              <w:tl2br w:val="nil"/>
              <w:tr2bl w:val="nil"/>
            </w:tcBorders>
            <w:noWrap/>
            <w:vAlign w:val="center"/>
          </w:tcPr>
          <w:p w:rsidR="002C2456" w:rsidRDefault="002C2456">
            <w:pPr>
              <w:widowControl/>
              <w:spacing w:line="579" w:lineRule="exact"/>
              <w:rPr>
                <w:rFonts w:ascii="宋体" w:eastAsia="方正仿宋_GBK" w:hAnsi="宋体" w:cs="方正仿宋_GBK"/>
                <w:color w:val="000000"/>
                <w:kern w:val="0"/>
                <w:sz w:val="24"/>
                <w:szCs w:val="24"/>
              </w:rPr>
            </w:pPr>
          </w:p>
        </w:tc>
        <w:tc>
          <w:tcPr>
            <w:tcW w:w="1676" w:type="dxa"/>
            <w:gridSpan w:val="2"/>
            <w:vMerge/>
            <w:tcBorders>
              <w:tl2br w:val="nil"/>
              <w:tr2bl w:val="nil"/>
            </w:tcBorders>
            <w:noWrap/>
            <w:vAlign w:val="center"/>
          </w:tcPr>
          <w:p w:rsidR="002C2456" w:rsidRDefault="002C2456">
            <w:pPr>
              <w:spacing w:line="579" w:lineRule="exact"/>
              <w:jc w:val="center"/>
              <w:rPr>
                <w:rFonts w:ascii="宋体" w:eastAsia="方正仿宋_GBK" w:hAnsi="宋体" w:cs="方正仿宋_GBK"/>
                <w:color w:val="000000"/>
                <w:kern w:val="0"/>
                <w:sz w:val="24"/>
                <w:szCs w:val="24"/>
              </w:rPr>
            </w:pPr>
          </w:p>
        </w:tc>
        <w:tc>
          <w:tcPr>
            <w:tcW w:w="1075" w:type="dxa"/>
            <w:gridSpan w:val="2"/>
            <w:tcBorders>
              <w:tl2br w:val="nil"/>
              <w:tr2bl w:val="nil"/>
            </w:tcBorders>
            <w:noWrap/>
            <w:vAlign w:val="center"/>
          </w:tcPr>
          <w:p w:rsidR="002C2456" w:rsidRDefault="00B66C29" w:rsidP="007A24E7">
            <w:pPr>
              <w:widowControl/>
              <w:jc w:val="center"/>
              <w:textAlignment w:val="center"/>
              <w:rPr>
                <w:rFonts w:ascii="宋体" w:eastAsia="方正仿宋_GBK" w:hAnsi="宋体" w:cs="方正仿宋_GBK"/>
                <w:color w:val="000000"/>
                <w:kern w:val="0"/>
                <w:sz w:val="24"/>
                <w:szCs w:val="24"/>
              </w:rPr>
            </w:pPr>
            <w:r>
              <w:rPr>
                <w:rFonts w:ascii="宋体" w:hAnsi="宋体" w:cs="宋体" w:hint="eastAsia"/>
                <w:color w:val="000000"/>
                <w:kern w:val="0"/>
                <w:sz w:val="22"/>
              </w:rPr>
              <w:t>436500</w:t>
            </w:r>
          </w:p>
        </w:tc>
        <w:tc>
          <w:tcPr>
            <w:tcW w:w="1046" w:type="dxa"/>
            <w:gridSpan w:val="2"/>
            <w:tcBorders>
              <w:tl2br w:val="nil"/>
              <w:tr2bl w:val="nil"/>
            </w:tcBorders>
            <w:noWrap/>
            <w:vAlign w:val="center"/>
          </w:tcPr>
          <w:p w:rsidR="002C2456" w:rsidRDefault="00B66C29" w:rsidP="007A24E7">
            <w:pPr>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436500</w:t>
            </w:r>
          </w:p>
        </w:tc>
        <w:tc>
          <w:tcPr>
            <w:tcW w:w="2224" w:type="dxa"/>
            <w:gridSpan w:val="3"/>
            <w:tcBorders>
              <w:tl2br w:val="nil"/>
              <w:tr2bl w:val="nil"/>
            </w:tcBorders>
            <w:noWrap/>
            <w:vAlign w:val="center"/>
          </w:tcPr>
          <w:p w:rsidR="002C2456" w:rsidRDefault="00B66C29" w:rsidP="007A24E7">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436500</w:t>
            </w:r>
          </w:p>
        </w:tc>
        <w:tc>
          <w:tcPr>
            <w:tcW w:w="1404" w:type="dxa"/>
            <w:tcBorders>
              <w:tl2br w:val="nil"/>
              <w:tr2bl w:val="nil"/>
            </w:tcBorders>
            <w:noWrap/>
            <w:vAlign w:val="center"/>
          </w:tcPr>
          <w:p w:rsidR="002C2456" w:rsidRDefault="00B66C29" w:rsidP="007A24E7">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236" w:type="dxa"/>
            <w:tcBorders>
              <w:tl2br w:val="nil"/>
              <w:tr2bl w:val="nil"/>
            </w:tcBorders>
            <w:noWrap/>
            <w:vAlign w:val="center"/>
          </w:tcPr>
          <w:p w:rsidR="002C2456" w:rsidRDefault="00B66C29" w:rsidP="007A24E7">
            <w:pPr>
              <w:widowControl/>
              <w:spacing w:line="579" w:lineRule="exact"/>
              <w:jc w:val="center"/>
              <w:rPr>
                <w:rFonts w:ascii="宋体" w:eastAsia="方正仿宋_GBK" w:hAnsi="宋体" w:cs="方正仿宋_GBK"/>
                <w:kern w:val="0"/>
                <w:sz w:val="24"/>
                <w:szCs w:val="24"/>
              </w:rPr>
            </w:pPr>
            <w:r>
              <w:rPr>
                <w:rFonts w:ascii="宋体" w:eastAsia="方正仿宋_GBK" w:hAnsi="宋体" w:cs="方正仿宋_GBK" w:hint="eastAsia"/>
                <w:kern w:val="0"/>
                <w:sz w:val="24"/>
                <w:szCs w:val="24"/>
              </w:rPr>
              <w:t>10</w:t>
            </w:r>
          </w:p>
        </w:tc>
        <w:tc>
          <w:tcPr>
            <w:tcW w:w="836" w:type="dxa"/>
            <w:tcBorders>
              <w:tl2br w:val="nil"/>
              <w:tr2bl w:val="nil"/>
            </w:tcBorders>
            <w:noWrap/>
            <w:vAlign w:val="center"/>
          </w:tcPr>
          <w:p w:rsidR="002C2456" w:rsidRDefault="00B66C29" w:rsidP="007A24E7">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2C2456" w:rsidTr="007A24E7">
        <w:trPr>
          <w:trHeight w:val="551"/>
          <w:jc w:val="center"/>
        </w:trPr>
        <w:tc>
          <w:tcPr>
            <w:tcW w:w="635" w:type="dxa"/>
            <w:vMerge/>
            <w:tcBorders>
              <w:tl2br w:val="nil"/>
              <w:tr2bl w:val="nil"/>
            </w:tcBorders>
            <w:noWrap/>
            <w:vAlign w:val="center"/>
          </w:tcPr>
          <w:p w:rsidR="002C2456" w:rsidRDefault="002C2456">
            <w:pPr>
              <w:widowControl/>
              <w:spacing w:line="579" w:lineRule="exact"/>
              <w:rPr>
                <w:rFonts w:ascii="宋体" w:eastAsia="方正仿宋_GBK" w:hAnsi="宋体" w:cs="方正仿宋_GBK"/>
                <w:color w:val="000000"/>
                <w:kern w:val="0"/>
                <w:sz w:val="24"/>
                <w:szCs w:val="24"/>
              </w:rPr>
            </w:pPr>
          </w:p>
        </w:tc>
        <w:tc>
          <w:tcPr>
            <w:tcW w:w="1676" w:type="dxa"/>
            <w:gridSpan w:val="2"/>
            <w:tcBorders>
              <w:tl2br w:val="nil"/>
              <w:tr2bl w:val="nil"/>
            </w:tcBorders>
            <w:noWrap/>
            <w:vAlign w:val="center"/>
          </w:tcPr>
          <w:p w:rsidR="002C2456" w:rsidRDefault="00B66C29" w:rsidP="007A24E7">
            <w:pPr>
              <w:widowControl/>
              <w:spacing w:line="24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2C2456" w:rsidRDefault="00B66C29" w:rsidP="007A24E7">
            <w:pPr>
              <w:widowControl/>
              <w:spacing w:line="24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75" w:type="dxa"/>
            <w:gridSpan w:val="2"/>
            <w:tcBorders>
              <w:tl2br w:val="nil"/>
              <w:tr2bl w:val="nil"/>
            </w:tcBorders>
            <w:noWrap/>
            <w:vAlign w:val="center"/>
          </w:tcPr>
          <w:p w:rsidR="002C2456" w:rsidRDefault="00B66C29" w:rsidP="007A24E7">
            <w:pPr>
              <w:widowControl/>
              <w:spacing w:line="240" w:lineRule="exact"/>
              <w:textAlignment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436500</w:t>
            </w:r>
          </w:p>
        </w:tc>
        <w:tc>
          <w:tcPr>
            <w:tcW w:w="1046" w:type="dxa"/>
            <w:gridSpan w:val="2"/>
            <w:tcBorders>
              <w:tl2br w:val="nil"/>
              <w:tr2bl w:val="nil"/>
            </w:tcBorders>
            <w:noWrap/>
            <w:vAlign w:val="center"/>
          </w:tcPr>
          <w:p w:rsidR="002C2456" w:rsidRDefault="00B66C29" w:rsidP="007A24E7">
            <w:pPr>
              <w:spacing w:line="24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436500</w:t>
            </w:r>
          </w:p>
        </w:tc>
        <w:tc>
          <w:tcPr>
            <w:tcW w:w="2224" w:type="dxa"/>
            <w:gridSpan w:val="3"/>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436500</w:t>
            </w:r>
          </w:p>
        </w:tc>
        <w:tc>
          <w:tcPr>
            <w:tcW w:w="1404"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236"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836" w:type="dxa"/>
            <w:tcBorders>
              <w:tl2br w:val="nil"/>
              <w:tr2bl w:val="nil"/>
            </w:tcBorders>
            <w:noWrap/>
            <w:vAlign w:val="center"/>
          </w:tcPr>
          <w:p w:rsidR="002C2456" w:rsidRDefault="00B66C29" w:rsidP="007A24E7">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2C2456">
        <w:trPr>
          <w:trHeight w:val="469"/>
          <w:jc w:val="center"/>
        </w:trPr>
        <w:tc>
          <w:tcPr>
            <w:tcW w:w="635" w:type="dxa"/>
            <w:vMerge w:val="restart"/>
            <w:tcBorders>
              <w:tl2br w:val="nil"/>
              <w:tr2bl w:val="nil"/>
            </w:tcBorders>
            <w:noWrap/>
            <w:vAlign w:val="center"/>
          </w:tcPr>
          <w:p w:rsidR="002C2456" w:rsidRDefault="00B66C2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093" w:type="dxa"/>
            <w:gridSpan w:val="5"/>
            <w:tcBorders>
              <w:tl2br w:val="nil"/>
              <w:tr2bl w:val="nil"/>
            </w:tcBorders>
            <w:noWrap/>
            <w:vAlign w:val="center"/>
          </w:tcPr>
          <w:p w:rsidR="002C2456" w:rsidRDefault="00B66C2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2928" w:type="dxa"/>
            <w:gridSpan w:val="4"/>
            <w:tcBorders>
              <w:tl2br w:val="nil"/>
              <w:tr2bl w:val="nil"/>
            </w:tcBorders>
            <w:noWrap/>
            <w:vAlign w:val="center"/>
          </w:tcPr>
          <w:p w:rsidR="002C2456" w:rsidRDefault="00B66C2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476" w:type="dxa"/>
            <w:gridSpan w:val="3"/>
            <w:tcBorders>
              <w:tl2br w:val="nil"/>
              <w:tr2bl w:val="nil"/>
            </w:tcBorders>
            <w:noWrap/>
            <w:vAlign w:val="center"/>
          </w:tcPr>
          <w:p w:rsidR="002C2456" w:rsidRDefault="00B66C2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2C2456">
        <w:trPr>
          <w:trHeight w:val="1120"/>
          <w:jc w:val="center"/>
        </w:trPr>
        <w:tc>
          <w:tcPr>
            <w:tcW w:w="635" w:type="dxa"/>
            <w:vMerge/>
            <w:tcBorders>
              <w:tl2br w:val="nil"/>
              <w:tr2bl w:val="nil"/>
            </w:tcBorders>
            <w:noWrap/>
            <w:vAlign w:val="center"/>
          </w:tcPr>
          <w:p w:rsidR="002C2456" w:rsidRDefault="002C2456">
            <w:pPr>
              <w:widowControl/>
              <w:spacing w:line="579" w:lineRule="exact"/>
              <w:rPr>
                <w:rFonts w:ascii="宋体" w:eastAsia="方正仿宋_GBK" w:hAnsi="宋体" w:cs="方正仿宋_GBK"/>
                <w:color w:val="000000"/>
                <w:kern w:val="0"/>
                <w:sz w:val="24"/>
                <w:szCs w:val="24"/>
              </w:rPr>
            </w:pPr>
            <w:bookmarkStart w:id="0" w:name="_GoBack" w:colFirst="1" w:colLast="10"/>
          </w:p>
        </w:tc>
        <w:tc>
          <w:tcPr>
            <w:tcW w:w="3093" w:type="dxa"/>
            <w:gridSpan w:val="5"/>
            <w:tcBorders>
              <w:tl2br w:val="nil"/>
              <w:tr2bl w:val="nil"/>
            </w:tcBorders>
            <w:noWrap/>
            <w:vAlign w:val="center"/>
          </w:tcPr>
          <w:p w:rsidR="002C2456" w:rsidRDefault="00B66C29">
            <w:pPr>
              <w:widowControl/>
              <w:spacing w:line="36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通过政府采购确定具有法定资质的水质检测机构对全区城镇供水水质进行监测，其中</w:t>
            </w:r>
            <w:r>
              <w:rPr>
                <w:rFonts w:ascii="宋体" w:eastAsia="方正仿宋_GBK" w:hAnsi="宋体" w:cs="方正仿宋_GBK" w:hint="eastAsia"/>
                <w:color w:val="000000"/>
                <w:kern w:val="0"/>
                <w:sz w:val="24"/>
                <w:szCs w:val="24"/>
              </w:rPr>
              <w:t>3</w:t>
            </w:r>
            <w:r>
              <w:rPr>
                <w:rFonts w:ascii="宋体" w:eastAsia="方正仿宋_GBK" w:hAnsi="宋体" w:cs="方正仿宋_GBK" w:hint="eastAsia"/>
                <w:color w:val="000000"/>
                <w:kern w:val="0"/>
                <w:sz w:val="24"/>
                <w:szCs w:val="24"/>
              </w:rPr>
              <w:t>个区级水厂出厂水</w:t>
            </w:r>
            <w:r>
              <w:rPr>
                <w:rFonts w:ascii="宋体" w:eastAsia="方正仿宋_GBK" w:hAnsi="宋体" w:cs="方正仿宋_GBK" w:hint="eastAsia"/>
                <w:color w:val="000000"/>
                <w:kern w:val="0"/>
                <w:sz w:val="24"/>
                <w:szCs w:val="24"/>
              </w:rPr>
              <w:t>42</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106</w:t>
            </w:r>
            <w:r>
              <w:rPr>
                <w:rFonts w:ascii="宋体" w:eastAsia="方正仿宋_GBK" w:hAnsi="宋体" w:cs="方正仿宋_GBK" w:hint="eastAsia"/>
                <w:color w:val="000000"/>
                <w:kern w:val="0"/>
                <w:sz w:val="24"/>
                <w:szCs w:val="24"/>
              </w:rPr>
              <w:t>项全分析</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36</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24</w:t>
            </w:r>
            <w:r>
              <w:rPr>
                <w:rFonts w:ascii="宋体" w:eastAsia="方正仿宋_GBK" w:hAnsi="宋体" w:cs="方正仿宋_GBK" w:hint="eastAsia"/>
                <w:color w:val="000000"/>
                <w:kern w:val="0"/>
                <w:sz w:val="24"/>
                <w:szCs w:val="24"/>
              </w:rPr>
              <w:t>个镇级（工业园）水厂出厂水</w:t>
            </w:r>
            <w:r>
              <w:rPr>
                <w:rFonts w:ascii="宋体" w:eastAsia="方正仿宋_GBK" w:hAnsi="宋体" w:cs="方正仿宋_GBK" w:hint="eastAsia"/>
                <w:color w:val="000000"/>
                <w:kern w:val="0"/>
                <w:sz w:val="24"/>
                <w:szCs w:val="24"/>
              </w:rPr>
              <w:t>9</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4</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2</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年；城区二次供水</w:t>
            </w:r>
            <w:r>
              <w:rPr>
                <w:rFonts w:ascii="宋体" w:eastAsia="方正仿宋_GBK" w:hAnsi="宋体" w:cs="方正仿宋_GBK" w:hint="eastAsia"/>
                <w:color w:val="000000"/>
                <w:kern w:val="0"/>
                <w:sz w:val="24"/>
                <w:szCs w:val="24"/>
              </w:rPr>
              <w:t>8</w:t>
            </w:r>
            <w:r>
              <w:rPr>
                <w:rFonts w:ascii="宋体" w:eastAsia="方正仿宋_GBK" w:hAnsi="宋体" w:cs="方正仿宋_GBK" w:hint="eastAsia"/>
                <w:color w:val="000000"/>
                <w:kern w:val="0"/>
                <w:sz w:val="24"/>
                <w:szCs w:val="24"/>
              </w:rPr>
              <w:t>项指标每半年抽样监测</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个水箱式二次供水水质监测不少于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16</w:t>
            </w:r>
            <w:r>
              <w:rPr>
                <w:rFonts w:ascii="宋体" w:eastAsia="方正仿宋_GBK" w:hAnsi="宋体" w:cs="方正仿宋_GBK" w:hint="eastAsia"/>
                <w:color w:val="000000"/>
                <w:kern w:val="0"/>
                <w:sz w:val="24"/>
                <w:szCs w:val="24"/>
              </w:rPr>
              <w:t>个公共直饮水点出水</w:t>
            </w:r>
            <w:r>
              <w:rPr>
                <w:rFonts w:ascii="宋体" w:eastAsia="方正仿宋_GBK" w:hAnsi="宋体" w:cs="方正仿宋_GBK" w:hint="eastAsia"/>
                <w:color w:val="000000"/>
                <w:kern w:val="0"/>
                <w:sz w:val="24"/>
                <w:szCs w:val="24"/>
              </w:rPr>
              <w:t>19</w:t>
            </w:r>
            <w:r>
              <w:rPr>
                <w:rFonts w:ascii="宋体" w:eastAsia="方正仿宋_GBK" w:hAnsi="宋体" w:cs="方正仿宋_GBK" w:hint="eastAsia"/>
                <w:color w:val="000000"/>
                <w:kern w:val="0"/>
                <w:sz w:val="24"/>
                <w:szCs w:val="24"/>
              </w:rPr>
              <w:t>项指标不少于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年。并根据监测次数及项数，按合同约定据实支付。</w:t>
            </w:r>
          </w:p>
        </w:tc>
        <w:tc>
          <w:tcPr>
            <w:tcW w:w="2928" w:type="dxa"/>
            <w:gridSpan w:val="4"/>
            <w:tcBorders>
              <w:tl2br w:val="nil"/>
              <w:tr2bl w:val="nil"/>
            </w:tcBorders>
            <w:noWrap/>
            <w:vAlign w:val="center"/>
          </w:tcPr>
          <w:p w:rsidR="002C2456" w:rsidRDefault="00B66C29">
            <w:pPr>
              <w:widowControl/>
              <w:spacing w:line="36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通过政府采购确定具有法定资质的水质检测机构对全区城镇供水水质进行监测，其中</w:t>
            </w:r>
            <w:r>
              <w:rPr>
                <w:rFonts w:ascii="宋体" w:eastAsia="方正仿宋_GBK" w:hAnsi="宋体" w:cs="方正仿宋_GBK" w:hint="eastAsia"/>
                <w:color w:val="000000"/>
                <w:kern w:val="0"/>
                <w:sz w:val="24"/>
                <w:szCs w:val="24"/>
              </w:rPr>
              <w:t>3</w:t>
            </w:r>
            <w:r>
              <w:rPr>
                <w:rFonts w:ascii="宋体" w:eastAsia="方正仿宋_GBK" w:hAnsi="宋体" w:cs="方正仿宋_GBK" w:hint="eastAsia"/>
                <w:color w:val="000000"/>
                <w:kern w:val="0"/>
                <w:sz w:val="24"/>
                <w:szCs w:val="24"/>
              </w:rPr>
              <w:t>个区级水厂出厂水</w:t>
            </w:r>
            <w:r>
              <w:rPr>
                <w:rFonts w:ascii="宋体" w:eastAsia="方正仿宋_GBK" w:hAnsi="宋体" w:cs="方正仿宋_GBK" w:hint="eastAsia"/>
                <w:color w:val="000000"/>
                <w:kern w:val="0"/>
                <w:sz w:val="24"/>
                <w:szCs w:val="24"/>
              </w:rPr>
              <w:t>42</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106</w:t>
            </w:r>
            <w:r>
              <w:rPr>
                <w:rFonts w:ascii="宋体" w:eastAsia="方正仿宋_GBK" w:hAnsi="宋体" w:cs="方正仿宋_GBK" w:hint="eastAsia"/>
                <w:color w:val="000000"/>
                <w:kern w:val="0"/>
                <w:sz w:val="24"/>
                <w:szCs w:val="24"/>
              </w:rPr>
              <w:t>项全分析</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36</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24</w:t>
            </w:r>
            <w:r>
              <w:rPr>
                <w:rFonts w:ascii="宋体" w:eastAsia="方正仿宋_GBK" w:hAnsi="宋体" w:cs="方正仿宋_GBK" w:hint="eastAsia"/>
                <w:color w:val="000000"/>
                <w:kern w:val="0"/>
                <w:sz w:val="24"/>
                <w:szCs w:val="24"/>
              </w:rPr>
              <w:t>个镇级（工业园）水厂出厂水</w:t>
            </w:r>
            <w:r>
              <w:rPr>
                <w:rFonts w:ascii="宋体" w:eastAsia="方正仿宋_GBK" w:hAnsi="宋体" w:cs="方正仿宋_GBK" w:hint="eastAsia"/>
                <w:color w:val="000000"/>
                <w:kern w:val="0"/>
                <w:sz w:val="24"/>
                <w:szCs w:val="24"/>
              </w:rPr>
              <w:t>9</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4</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2</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年；城区二次供水</w:t>
            </w:r>
            <w:r>
              <w:rPr>
                <w:rFonts w:ascii="宋体" w:eastAsia="方正仿宋_GBK" w:hAnsi="宋体" w:cs="方正仿宋_GBK" w:hint="eastAsia"/>
                <w:color w:val="000000"/>
                <w:kern w:val="0"/>
                <w:sz w:val="24"/>
                <w:szCs w:val="24"/>
              </w:rPr>
              <w:t>8</w:t>
            </w:r>
            <w:r>
              <w:rPr>
                <w:rFonts w:ascii="宋体" w:eastAsia="方正仿宋_GBK" w:hAnsi="宋体" w:cs="方正仿宋_GBK" w:hint="eastAsia"/>
                <w:color w:val="000000"/>
                <w:kern w:val="0"/>
                <w:sz w:val="24"/>
                <w:szCs w:val="24"/>
              </w:rPr>
              <w:t>项指标每半年抽样监测</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个水箱式二次供水水质监测不少于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16</w:t>
            </w:r>
            <w:r>
              <w:rPr>
                <w:rFonts w:ascii="宋体" w:eastAsia="方正仿宋_GBK" w:hAnsi="宋体" w:cs="方正仿宋_GBK" w:hint="eastAsia"/>
                <w:color w:val="000000"/>
                <w:kern w:val="0"/>
                <w:sz w:val="24"/>
                <w:szCs w:val="24"/>
              </w:rPr>
              <w:t>个公共直饮水点出水</w:t>
            </w:r>
            <w:r>
              <w:rPr>
                <w:rFonts w:ascii="宋体" w:eastAsia="方正仿宋_GBK" w:hAnsi="宋体" w:cs="方正仿宋_GBK" w:hint="eastAsia"/>
                <w:color w:val="000000"/>
                <w:kern w:val="0"/>
                <w:sz w:val="24"/>
                <w:szCs w:val="24"/>
              </w:rPr>
              <w:t>19</w:t>
            </w:r>
            <w:r>
              <w:rPr>
                <w:rFonts w:ascii="宋体" w:eastAsia="方正仿宋_GBK" w:hAnsi="宋体" w:cs="方正仿宋_GBK" w:hint="eastAsia"/>
                <w:color w:val="000000"/>
                <w:kern w:val="0"/>
                <w:sz w:val="24"/>
                <w:szCs w:val="24"/>
              </w:rPr>
              <w:t>项指标不少于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年。并根据监测次数及项数，按合同约定据实支付。</w:t>
            </w:r>
          </w:p>
        </w:tc>
        <w:tc>
          <w:tcPr>
            <w:tcW w:w="3476" w:type="dxa"/>
            <w:gridSpan w:val="3"/>
            <w:tcBorders>
              <w:tl2br w:val="nil"/>
              <w:tr2bl w:val="nil"/>
            </w:tcBorders>
            <w:noWrap/>
            <w:vAlign w:val="center"/>
          </w:tcPr>
          <w:p w:rsidR="002C2456" w:rsidRDefault="00B66C29">
            <w:pPr>
              <w:widowControl/>
              <w:spacing w:line="360"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通过政府采购确定具有法定资质的水质检测机构对全区城镇供水水质进行监测，其中</w:t>
            </w:r>
            <w:r>
              <w:rPr>
                <w:rFonts w:ascii="宋体" w:eastAsia="方正仿宋_GBK" w:hAnsi="宋体" w:cs="方正仿宋_GBK" w:hint="eastAsia"/>
                <w:color w:val="000000"/>
                <w:kern w:val="0"/>
                <w:sz w:val="24"/>
                <w:szCs w:val="24"/>
              </w:rPr>
              <w:t>3</w:t>
            </w:r>
            <w:r>
              <w:rPr>
                <w:rFonts w:ascii="宋体" w:eastAsia="方正仿宋_GBK" w:hAnsi="宋体" w:cs="方正仿宋_GBK" w:hint="eastAsia"/>
                <w:color w:val="000000"/>
                <w:kern w:val="0"/>
                <w:sz w:val="24"/>
                <w:szCs w:val="24"/>
              </w:rPr>
              <w:t>个区级水厂出厂水</w:t>
            </w:r>
            <w:r>
              <w:rPr>
                <w:rFonts w:ascii="宋体" w:eastAsia="方正仿宋_GBK" w:hAnsi="宋体" w:cs="方正仿宋_GBK" w:hint="eastAsia"/>
                <w:color w:val="000000"/>
                <w:kern w:val="0"/>
                <w:sz w:val="24"/>
                <w:szCs w:val="24"/>
              </w:rPr>
              <w:t>42</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106</w:t>
            </w:r>
            <w:r>
              <w:rPr>
                <w:rFonts w:ascii="宋体" w:eastAsia="方正仿宋_GBK" w:hAnsi="宋体" w:cs="方正仿宋_GBK" w:hint="eastAsia"/>
                <w:color w:val="000000"/>
                <w:kern w:val="0"/>
                <w:sz w:val="24"/>
                <w:szCs w:val="24"/>
              </w:rPr>
              <w:t>项全分析</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36</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24</w:t>
            </w:r>
            <w:r>
              <w:rPr>
                <w:rFonts w:ascii="宋体" w:eastAsia="方正仿宋_GBK" w:hAnsi="宋体" w:cs="方正仿宋_GBK" w:hint="eastAsia"/>
                <w:color w:val="000000"/>
                <w:kern w:val="0"/>
                <w:sz w:val="24"/>
                <w:szCs w:val="24"/>
              </w:rPr>
              <w:t>个镇级（工业园）水厂出厂水</w:t>
            </w:r>
            <w:r>
              <w:rPr>
                <w:rFonts w:ascii="宋体" w:eastAsia="方正仿宋_GBK" w:hAnsi="宋体" w:cs="方正仿宋_GBK" w:hint="eastAsia"/>
                <w:color w:val="000000"/>
                <w:kern w:val="0"/>
                <w:sz w:val="24"/>
                <w:szCs w:val="24"/>
              </w:rPr>
              <w:t>9</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4</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年、管网水</w:t>
            </w:r>
            <w:r>
              <w:rPr>
                <w:rFonts w:ascii="宋体" w:eastAsia="方正仿宋_GBK" w:hAnsi="宋体" w:cs="方正仿宋_GBK" w:hint="eastAsia"/>
                <w:color w:val="000000"/>
                <w:kern w:val="0"/>
                <w:sz w:val="24"/>
                <w:szCs w:val="24"/>
              </w:rPr>
              <w:t>7</w:t>
            </w:r>
            <w:r>
              <w:rPr>
                <w:rFonts w:ascii="宋体" w:eastAsia="方正仿宋_GBK" w:hAnsi="宋体" w:cs="方正仿宋_GBK" w:hint="eastAsia"/>
                <w:color w:val="000000"/>
                <w:kern w:val="0"/>
                <w:sz w:val="24"/>
                <w:szCs w:val="24"/>
              </w:rPr>
              <w:t>项指标</w:t>
            </w:r>
            <w:r>
              <w:rPr>
                <w:rFonts w:ascii="宋体" w:eastAsia="方正仿宋_GBK" w:hAnsi="宋体" w:cs="方正仿宋_GBK" w:hint="eastAsia"/>
                <w:color w:val="000000"/>
                <w:kern w:val="0"/>
                <w:sz w:val="24"/>
                <w:szCs w:val="24"/>
              </w:rPr>
              <w:t>2</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年；城区二次供水</w:t>
            </w:r>
            <w:r>
              <w:rPr>
                <w:rFonts w:ascii="宋体" w:eastAsia="方正仿宋_GBK" w:hAnsi="宋体" w:cs="方正仿宋_GBK" w:hint="eastAsia"/>
                <w:color w:val="000000"/>
                <w:kern w:val="0"/>
                <w:sz w:val="24"/>
                <w:szCs w:val="24"/>
              </w:rPr>
              <w:t>8</w:t>
            </w:r>
            <w:r>
              <w:rPr>
                <w:rFonts w:ascii="宋体" w:eastAsia="方正仿宋_GBK" w:hAnsi="宋体" w:cs="方正仿宋_GBK" w:hint="eastAsia"/>
                <w:color w:val="000000"/>
                <w:kern w:val="0"/>
                <w:sz w:val="24"/>
                <w:szCs w:val="24"/>
              </w:rPr>
              <w:t>项指标每半年抽样监测</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11</w:t>
            </w:r>
            <w:r>
              <w:rPr>
                <w:rFonts w:ascii="宋体" w:eastAsia="方正仿宋_GBK" w:hAnsi="宋体" w:cs="方正仿宋_GBK" w:hint="eastAsia"/>
                <w:color w:val="000000"/>
                <w:kern w:val="0"/>
                <w:sz w:val="24"/>
                <w:szCs w:val="24"/>
              </w:rPr>
              <w:t>个水箱式二次供水水质监测不少于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w:t>
            </w:r>
            <w:r>
              <w:rPr>
                <w:rFonts w:ascii="宋体" w:eastAsia="方正仿宋_GBK" w:hAnsi="宋体" w:cs="方正仿宋_GBK" w:hint="eastAsia"/>
                <w:color w:val="000000"/>
                <w:kern w:val="0"/>
                <w:sz w:val="24"/>
                <w:szCs w:val="24"/>
              </w:rPr>
              <w:t>16</w:t>
            </w:r>
            <w:r>
              <w:rPr>
                <w:rFonts w:ascii="宋体" w:eastAsia="方正仿宋_GBK" w:hAnsi="宋体" w:cs="方正仿宋_GBK" w:hint="eastAsia"/>
                <w:color w:val="000000"/>
                <w:kern w:val="0"/>
                <w:sz w:val="24"/>
                <w:szCs w:val="24"/>
              </w:rPr>
              <w:t>个公共直饮水点出水</w:t>
            </w:r>
            <w:r>
              <w:rPr>
                <w:rFonts w:ascii="宋体" w:eastAsia="方正仿宋_GBK" w:hAnsi="宋体" w:cs="方正仿宋_GBK" w:hint="eastAsia"/>
                <w:color w:val="000000"/>
                <w:kern w:val="0"/>
                <w:sz w:val="24"/>
                <w:szCs w:val="24"/>
              </w:rPr>
              <w:t>19</w:t>
            </w:r>
            <w:r>
              <w:rPr>
                <w:rFonts w:ascii="宋体" w:eastAsia="方正仿宋_GBK" w:hAnsi="宋体" w:cs="方正仿宋_GBK" w:hint="eastAsia"/>
                <w:color w:val="000000"/>
                <w:kern w:val="0"/>
                <w:sz w:val="24"/>
                <w:szCs w:val="24"/>
              </w:rPr>
              <w:t>项指标不少于</w:t>
            </w:r>
            <w:r>
              <w:rPr>
                <w:rFonts w:ascii="宋体" w:eastAsia="方正仿宋_GBK" w:hAnsi="宋体" w:cs="方正仿宋_GBK" w:hint="eastAsia"/>
                <w:color w:val="000000"/>
                <w:kern w:val="0"/>
                <w:sz w:val="24"/>
                <w:szCs w:val="24"/>
              </w:rPr>
              <w:t>1</w:t>
            </w:r>
            <w:r>
              <w:rPr>
                <w:rFonts w:ascii="宋体" w:eastAsia="方正仿宋_GBK" w:hAnsi="宋体" w:cs="方正仿宋_GBK" w:hint="eastAsia"/>
                <w:color w:val="000000"/>
                <w:kern w:val="0"/>
                <w:sz w:val="24"/>
                <w:szCs w:val="24"/>
              </w:rPr>
              <w:t>次</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年。并根据监测次数及项数，按合同约定据实支付。</w:t>
            </w:r>
          </w:p>
        </w:tc>
      </w:tr>
      <w:bookmarkEnd w:id="0"/>
      <w:tr w:rsidR="002C2456">
        <w:trPr>
          <w:trHeight w:val="469"/>
          <w:jc w:val="center"/>
        </w:trPr>
        <w:tc>
          <w:tcPr>
            <w:tcW w:w="635" w:type="dxa"/>
            <w:vMerge w:val="restart"/>
            <w:tcBorders>
              <w:tl2br w:val="nil"/>
              <w:tr2bl w:val="nil"/>
            </w:tcBorders>
            <w:noWrap/>
            <w:textDirection w:val="tbRlV"/>
            <w:vAlign w:val="center"/>
          </w:tcPr>
          <w:p w:rsidR="002C2456" w:rsidRDefault="00B66C2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968"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708"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709"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708" w:type="dxa"/>
            <w:gridSpan w:val="2"/>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857" w:type="dxa"/>
            <w:gridSpan w:val="2"/>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1255"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816"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404"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36"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36" w:type="dxa"/>
            <w:tcBorders>
              <w:tl2br w:val="nil"/>
              <w:tr2bl w:val="nil"/>
            </w:tcBorders>
            <w:noWrap/>
            <w:vAlign w:val="center"/>
          </w:tcPr>
          <w:p w:rsidR="002C2456" w:rsidRDefault="00B66C29">
            <w:pPr>
              <w:widowControl/>
              <w:spacing w:line="41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2C2456" w:rsidRPr="007A24E7">
        <w:trPr>
          <w:trHeight w:val="408"/>
          <w:jc w:val="center"/>
        </w:trPr>
        <w:tc>
          <w:tcPr>
            <w:tcW w:w="635" w:type="dxa"/>
            <w:vMerge/>
            <w:tcBorders>
              <w:tl2br w:val="nil"/>
              <w:tr2bl w:val="nil"/>
            </w:tcBorders>
            <w:noWrap/>
            <w:vAlign w:val="center"/>
          </w:tcPr>
          <w:p w:rsidR="002C2456" w:rsidRPr="007A24E7" w:rsidRDefault="002C2456"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服务覆盖人口</w:t>
            </w:r>
          </w:p>
        </w:tc>
        <w:tc>
          <w:tcPr>
            <w:tcW w:w="70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万人</w:t>
            </w:r>
          </w:p>
        </w:tc>
        <w:tc>
          <w:tcPr>
            <w:tcW w:w="709" w:type="dxa"/>
            <w:tcBorders>
              <w:tl2br w:val="nil"/>
              <w:tr2bl w:val="nil"/>
            </w:tcBorders>
            <w:noWrap/>
            <w:vAlign w:val="center"/>
          </w:tcPr>
          <w:p w:rsidR="002C2456" w:rsidRPr="007A24E7" w:rsidRDefault="00B66C29"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126</w:t>
            </w:r>
          </w:p>
        </w:tc>
        <w:tc>
          <w:tcPr>
            <w:tcW w:w="857"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126</w:t>
            </w:r>
          </w:p>
        </w:tc>
        <w:tc>
          <w:tcPr>
            <w:tcW w:w="1255"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0</w:t>
            </w:r>
          </w:p>
        </w:tc>
        <w:tc>
          <w:tcPr>
            <w:tcW w:w="81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123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836" w:type="dxa"/>
            <w:tcBorders>
              <w:tl2br w:val="nil"/>
              <w:tr2bl w:val="nil"/>
            </w:tcBorders>
            <w:noWrap/>
            <w:vAlign w:val="center"/>
          </w:tcPr>
          <w:p w:rsidR="002C2456" w:rsidRPr="007A24E7" w:rsidRDefault="002C2456" w:rsidP="007A24E7">
            <w:pPr>
              <w:widowControl/>
              <w:spacing w:line="240" w:lineRule="exact"/>
              <w:rPr>
                <w:rFonts w:ascii="宋体" w:eastAsia="方正仿宋_GBK" w:hAnsi="宋体" w:cs="方正仿宋_GBK"/>
                <w:color w:val="000000"/>
                <w:kern w:val="0"/>
                <w:sz w:val="24"/>
                <w:szCs w:val="24"/>
              </w:rPr>
            </w:pPr>
          </w:p>
        </w:tc>
      </w:tr>
      <w:tr w:rsidR="002C2456" w:rsidRPr="007A24E7">
        <w:trPr>
          <w:trHeight w:val="408"/>
          <w:jc w:val="center"/>
        </w:trPr>
        <w:tc>
          <w:tcPr>
            <w:tcW w:w="635" w:type="dxa"/>
            <w:vMerge/>
            <w:tcBorders>
              <w:tl2br w:val="nil"/>
              <w:tr2bl w:val="nil"/>
            </w:tcBorders>
            <w:noWrap/>
            <w:vAlign w:val="center"/>
          </w:tcPr>
          <w:p w:rsidR="002C2456" w:rsidRPr="007A24E7" w:rsidRDefault="002C2456"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服务面积</w:t>
            </w:r>
          </w:p>
        </w:tc>
        <w:tc>
          <w:tcPr>
            <w:tcW w:w="70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平方公里</w:t>
            </w:r>
          </w:p>
        </w:tc>
        <w:tc>
          <w:tcPr>
            <w:tcW w:w="709" w:type="dxa"/>
            <w:tcBorders>
              <w:tl2br w:val="nil"/>
              <w:tr2bl w:val="nil"/>
            </w:tcBorders>
            <w:noWrap/>
            <w:vAlign w:val="center"/>
          </w:tcPr>
          <w:p w:rsidR="002C2456" w:rsidRPr="007A24E7" w:rsidRDefault="00B66C29"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453</w:t>
            </w:r>
          </w:p>
        </w:tc>
        <w:tc>
          <w:tcPr>
            <w:tcW w:w="857"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453</w:t>
            </w:r>
          </w:p>
        </w:tc>
        <w:tc>
          <w:tcPr>
            <w:tcW w:w="1255"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0</w:t>
            </w:r>
          </w:p>
        </w:tc>
        <w:tc>
          <w:tcPr>
            <w:tcW w:w="81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123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836" w:type="dxa"/>
            <w:tcBorders>
              <w:tl2br w:val="nil"/>
              <w:tr2bl w:val="nil"/>
            </w:tcBorders>
            <w:noWrap/>
            <w:vAlign w:val="center"/>
          </w:tcPr>
          <w:p w:rsidR="002C2456" w:rsidRPr="007A24E7" w:rsidRDefault="002C2456" w:rsidP="007A24E7">
            <w:pPr>
              <w:widowControl/>
              <w:spacing w:line="240" w:lineRule="exact"/>
              <w:rPr>
                <w:rFonts w:ascii="宋体" w:eastAsia="方正仿宋_GBK" w:hAnsi="宋体" w:cs="方正仿宋_GBK"/>
                <w:color w:val="000000"/>
                <w:kern w:val="0"/>
                <w:sz w:val="24"/>
                <w:szCs w:val="24"/>
              </w:rPr>
            </w:pPr>
          </w:p>
        </w:tc>
      </w:tr>
      <w:tr w:rsidR="002C2456" w:rsidRPr="007A24E7">
        <w:trPr>
          <w:trHeight w:val="408"/>
          <w:jc w:val="center"/>
        </w:trPr>
        <w:tc>
          <w:tcPr>
            <w:tcW w:w="635" w:type="dxa"/>
            <w:vMerge/>
            <w:tcBorders>
              <w:tl2br w:val="nil"/>
              <w:tr2bl w:val="nil"/>
            </w:tcBorders>
            <w:noWrap/>
            <w:vAlign w:val="center"/>
          </w:tcPr>
          <w:p w:rsidR="002C2456" w:rsidRPr="007A24E7" w:rsidRDefault="002C2456"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水质监测次数</w:t>
            </w:r>
          </w:p>
        </w:tc>
        <w:tc>
          <w:tcPr>
            <w:tcW w:w="70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次</w:t>
            </w:r>
            <w:r w:rsidRPr="007A24E7">
              <w:rPr>
                <w:rFonts w:ascii="宋体" w:eastAsia="方正仿宋_GBK" w:hAnsi="宋体" w:cs="方正仿宋_GBK" w:hint="eastAsia"/>
                <w:color w:val="000000"/>
                <w:kern w:val="0"/>
                <w:sz w:val="24"/>
                <w:szCs w:val="24"/>
              </w:rPr>
              <w:t>/</w:t>
            </w:r>
            <w:r w:rsidRPr="007A24E7">
              <w:rPr>
                <w:rFonts w:ascii="宋体" w:eastAsia="方正仿宋_GBK" w:hAnsi="宋体" w:cs="方正仿宋_GBK" w:hint="eastAsia"/>
                <w:color w:val="000000"/>
                <w:kern w:val="0"/>
                <w:sz w:val="24"/>
                <w:szCs w:val="24"/>
              </w:rPr>
              <w:t>年</w:t>
            </w:r>
          </w:p>
        </w:tc>
        <w:tc>
          <w:tcPr>
            <w:tcW w:w="709" w:type="dxa"/>
            <w:tcBorders>
              <w:tl2br w:val="nil"/>
              <w:tr2bl w:val="nil"/>
            </w:tcBorders>
            <w:noWrap/>
            <w:vAlign w:val="center"/>
          </w:tcPr>
          <w:p w:rsidR="002C2456" w:rsidRPr="007A24E7" w:rsidRDefault="00B66C29"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233</w:t>
            </w:r>
          </w:p>
        </w:tc>
        <w:tc>
          <w:tcPr>
            <w:tcW w:w="857"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233</w:t>
            </w:r>
          </w:p>
        </w:tc>
        <w:tc>
          <w:tcPr>
            <w:tcW w:w="1255"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0</w:t>
            </w:r>
          </w:p>
        </w:tc>
        <w:tc>
          <w:tcPr>
            <w:tcW w:w="81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30</w:t>
            </w:r>
          </w:p>
        </w:tc>
        <w:tc>
          <w:tcPr>
            <w:tcW w:w="123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30</w:t>
            </w:r>
          </w:p>
        </w:tc>
        <w:tc>
          <w:tcPr>
            <w:tcW w:w="836" w:type="dxa"/>
            <w:tcBorders>
              <w:tl2br w:val="nil"/>
              <w:tr2bl w:val="nil"/>
            </w:tcBorders>
            <w:noWrap/>
            <w:vAlign w:val="center"/>
          </w:tcPr>
          <w:p w:rsidR="002C2456" w:rsidRPr="007A24E7" w:rsidRDefault="002C2456" w:rsidP="007A24E7">
            <w:pPr>
              <w:widowControl/>
              <w:spacing w:line="240" w:lineRule="exact"/>
              <w:rPr>
                <w:rFonts w:ascii="宋体" w:eastAsia="方正仿宋_GBK" w:hAnsi="宋体" w:cs="方正仿宋_GBK"/>
                <w:color w:val="000000"/>
                <w:kern w:val="0"/>
                <w:sz w:val="24"/>
                <w:szCs w:val="24"/>
              </w:rPr>
            </w:pPr>
          </w:p>
        </w:tc>
      </w:tr>
      <w:tr w:rsidR="002C2456" w:rsidRPr="007A24E7">
        <w:trPr>
          <w:trHeight w:val="408"/>
          <w:jc w:val="center"/>
        </w:trPr>
        <w:tc>
          <w:tcPr>
            <w:tcW w:w="635" w:type="dxa"/>
            <w:vMerge/>
            <w:tcBorders>
              <w:tl2br w:val="nil"/>
              <w:tr2bl w:val="nil"/>
            </w:tcBorders>
            <w:noWrap/>
            <w:vAlign w:val="center"/>
          </w:tcPr>
          <w:p w:rsidR="002C2456" w:rsidRPr="007A24E7" w:rsidRDefault="002C2456"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2C2456" w:rsidRPr="007A24E7" w:rsidRDefault="00B66C29"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样本采样后出具报告时间</w:t>
            </w:r>
          </w:p>
        </w:tc>
        <w:tc>
          <w:tcPr>
            <w:tcW w:w="708" w:type="dxa"/>
            <w:tcBorders>
              <w:tl2br w:val="nil"/>
              <w:tr2bl w:val="nil"/>
            </w:tcBorders>
            <w:noWrap/>
            <w:vAlign w:val="center"/>
          </w:tcPr>
          <w:p w:rsidR="002C2456" w:rsidRPr="007A24E7" w:rsidRDefault="00B66C29"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天</w:t>
            </w:r>
          </w:p>
        </w:tc>
        <w:tc>
          <w:tcPr>
            <w:tcW w:w="709" w:type="dxa"/>
            <w:tcBorders>
              <w:tl2br w:val="nil"/>
              <w:tr2bl w:val="nil"/>
            </w:tcBorders>
            <w:noWrap/>
            <w:vAlign w:val="center"/>
          </w:tcPr>
          <w:p w:rsidR="002C2456" w:rsidRPr="007A24E7" w:rsidRDefault="00B66C29"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15</w:t>
            </w:r>
          </w:p>
        </w:tc>
        <w:tc>
          <w:tcPr>
            <w:tcW w:w="857" w:type="dxa"/>
            <w:gridSpan w:val="2"/>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15</w:t>
            </w:r>
          </w:p>
        </w:tc>
        <w:tc>
          <w:tcPr>
            <w:tcW w:w="1255"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0</w:t>
            </w:r>
          </w:p>
        </w:tc>
        <w:tc>
          <w:tcPr>
            <w:tcW w:w="81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1236" w:type="dxa"/>
            <w:tcBorders>
              <w:tl2br w:val="nil"/>
              <w:tr2bl w:val="nil"/>
            </w:tcBorders>
            <w:noWrap/>
            <w:vAlign w:val="center"/>
          </w:tcPr>
          <w:p w:rsidR="002C2456" w:rsidRPr="007A24E7" w:rsidRDefault="00B66C29"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836" w:type="dxa"/>
            <w:tcBorders>
              <w:tl2br w:val="nil"/>
              <w:tr2bl w:val="nil"/>
            </w:tcBorders>
            <w:noWrap/>
            <w:vAlign w:val="center"/>
          </w:tcPr>
          <w:p w:rsidR="002C2456" w:rsidRPr="007A24E7" w:rsidRDefault="002C2456" w:rsidP="007A24E7">
            <w:pPr>
              <w:widowControl/>
              <w:spacing w:line="240" w:lineRule="exact"/>
              <w:rPr>
                <w:rFonts w:ascii="宋体" w:eastAsia="方正仿宋_GBK" w:hAnsi="宋体" w:cs="方正仿宋_GBK"/>
                <w:color w:val="000000"/>
                <w:kern w:val="0"/>
                <w:sz w:val="24"/>
                <w:szCs w:val="24"/>
              </w:rPr>
            </w:pPr>
          </w:p>
        </w:tc>
      </w:tr>
      <w:tr w:rsidR="007A24E7" w:rsidRPr="007A24E7">
        <w:trPr>
          <w:trHeight w:val="408"/>
          <w:jc w:val="center"/>
        </w:trPr>
        <w:tc>
          <w:tcPr>
            <w:tcW w:w="635" w:type="dxa"/>
            <w:vMerge/>
            <w:tcBorders>
              <w:tl2br w:val="nil"/>
              <w:tr2bl w:val="nil"/>
            </w:tcBorders>
            <w:noWrap/>
            <w:vAlign w:val="center"/>
          </w:tcPr>
          <w:p w:rsidR="007A24E7" w:rsidRPr="007A24E7" w:rsidRDefault="007A24E7"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7A24E7" w:rsidRPr="007A24E7" w:rsidRDefault="007A24E7"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城市水厂供水水质综合合格率</w:t>
            </w:r>
          </w:p>
        </w:tc>
        <w:tc>
          <w:tcPr>
            <w:tcW w:w="708" w:type="dxa"/>
            <w:tcBorders>
              <w:tl2br w:val="nil"/>
              <w:tr2bl w:val="nil"/>
            </w:tcBorders>
            <w:noWrap/>
            <w:vAlign w:val="center"/>
          </w:tcPr>
          <w:p w:rsidR="007A24E7" w:rsidRPr="007A24E7" w:rsidRDefault="007A24E7"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9" w:type="dxa"/>
            <w:tcBorders>
              <w:tl2br w:val="nil"/>
              <w:tr2bl w:val="nil"/>
            </w:tcBorders>
            <w:noWrap/>
            <w:vAlign w:val="center"/>
          </w:tcPr>
          <w:p w:rsidR="007A24E7" w:rsidRPr="007A24E7" w:rsidRDefault="007A24E7"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857" w:type="dxa"/>
            <w:gridSpan w:val="2"/>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255"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0</w:t>
            </w:r>
          </w:p>
        </w:tc>
        <w:tc>
          <w:tcPr>
            <w:tcW w:w="816"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20</w:t>
            </w:r>
          </w:p>
        </w:tc>
        <w:tc>
          <w:tcPr>
            <w:tcW w:w="1236"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20</w:t>
            </w:r>
          </w:p>
        </w:tc>
        <w:tc>
          <w:tcPr>
            <w:tcW w:w="836" w:type="dxa"/>
            <w:tcBorders>
              <w:tl2br w:val="nil"/>
              <w:tr2bl w:val="nil"/>
            </w:tcBorders>
            <w:noWrap/>
            <w:vAlign w:val="center"/>
          </w:tcPr>
          <w:p w:rsidR="007A24E7" w:rsidRPr="007A24E7" w:rsidRDefault="007A24E7" w:rsidP="007A24E7">
            <w:pPr>
              <w:widowControl/>
              <w:spacing w:line="240" w:lineRule="exact"/>
              <w:rPr>
                <w:rFonts w:ascii="宋体" w:eastAsia="方正仿宋_GBK" w:hAnsi="宋体" w:cs="方正仿宋_GBK"/>
                <w:color w:val="000000"/>
                <w:kern w:val="0"/>
                <w:sz w:val="24"/>
                <w:szCs w:val="24"/>
              </w:rPr>
            </w:pPr>
          </w:p>
        </w:tc>
      </w:tr>
      <w:tr w:rsidR="007A24E7" w:rsidRPr="007A24E7">
        <w:trPr>
          <w:trHeight w:val="408"/>
          <w:jc w:val="center"/>
        </w:trPr>
        <w:tc>
          <w:tcPr>
            <w:tcW w:w="635" w:type="dxa"/>
            <w:vMerge/>
            <w:tcBorders>
              <w:tl2br w:val="nil"/>
              <w:tr2bl w:val="nil"/>
            </w:tcBorders>
            <w:noWrap/>
            <w:vAlign w:val="center"/>
          </w:tcPr>
          <w:p w:rsidR="007A24E7" w:rsidRPr="007A24E7" w:rsidRDefault="007A24E7" w:rsidP="007A24E7">
            <w:pPr>
              <w:widowControl/>
              <w:spacing w:line="240" w:lineRule="atLeast"/>
              <w:rPr>
                <w:rFonts w:ascii="宋体" w:eastAsia="方正仿宋_GBK" w:hAnsi="宋体" w:cs="方正仿宋_GBK"/>
                <w:color w:val="000000"/>
                <w:kern w:val="0"/>
                <w:szCs w:val="21"/>
              </w:rPr>
            </w:pPr>
          </w:p>
        </w:tc>
        <w:tc>
          <w:tcPr>
            <w:tcW w:w="968" w:type="dxa"/>
            <w:tcBorders>
              <w:tl2br w:val="nil"/>
              <w:tr2bl w:val="nil"/>
            </w:tcBorders>
            <w:noWrap/>
            <w:vAlign w:val="center"/>
          </w:tcPr>
          <w:p w:rsidR="007A24E7" w:rsidRPr="007A24E7" w:rsidRDefault="007A24E7" w:rsidP="007A24E7">
            <w:pPr>
              <w:widowControl/>
              <w:spacing w:line="240" w:lineRule="exact"/>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受益群体满意度</w:t>
            </w:r>
          </w:p>
        </w:tc>
        <w:tc>
          <w:tcPr>
            <w:tcW w:w="708" w:type="dxa"/>
            <w:tcBorders>
              <w:tl2br w:val="nil"/>
              <w:tr2bl w:val="nil"/>
            </w:tcBorders>
            <w:noWrap/>
            <w:vAlign w:val="center"/>
          </w:tcPr>
          <w:p w:rsidR="007A24E7" w:rsidRPr="007A24E7" w:rsidRDefault="007A24E7"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9" w:type="dxa"/>
            <w:tcBorders>
              <w:tl2br w:val="nil"/>
              <w:tr2bl w:val="nil"/>
            </w:tcBorders>
            <w:noWrap/>
            <w:vAlign w:val="center"/>
          </w:tcPr>
          <w:p w:rsidR="007A24E7" w:rsidRPr="007A24E7" w:rsidRDefault="007A24E7" w:rsidP="007A24E7">
            <w:pPr>
              <w:widowControl/>
              <w:spacing w:line="240" w:lineRule="exact"/>
              <w:ind w:firstLineChars="100" w:firstLine="240"/>
              <w:jc w:val="lef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w:t>
            </w:r>
          </w:p>
        </w:tc>
        <w:tc>
          <w:tcPr>
            <w:tcW w:w="708" w:type="dxa"/>
            <w:gridSpan w:val="2"/>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80</w:t>
            </w:r>
          </w:p>
        </w:tc>
        <w:tc>
          <w:tcPr>
            <w:tcW w:w="857" w:type="dxa"/>
            <w:gridSpan w:val="2"/>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85</w:t>
            </w:r>
          </w:p>
        </w:tc>
        <w:tc>
          <w:tcPr>
            <w:tcW w:w="1255"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6.25</w:t>
            </w:r>
          </w:p>
        </w:tc>
        <w:tc>
          <w:tcPr>
            <w:tcW w:w="816"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100</w:t>
            </w:r>
          </w:p>
        </w:tc>
        <w:tc>
          <w:tcPr>
            <w:tcW w:w="1404"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1236" w:type="dxa"/>
            <w:tcBorders>
              <w:tl2br w:val="nil"/>
              <w:tr2bl w:val="nil"/>
            </w:tcBorders>
            <w:noWrap/>
            <w:vAlign w:val="center"/>
          </w:tcPr>
          <w:p w:rsidR="007A24E7" w:rsidRPr="007A24E7" w:rsidRDefault="007A24E7" w:rsidP="007A24E7">
            <w:pPr>
              <w:widowControl/>
              <w:spacing w:line="240" w:lineRule="exact"/>
              <w:ind w:firstLineChars="100" w:firstLine="240"/>
              <w:jc w:val="right"/>
              <w:textAlignment w:val="center"/>
              <w:rPr>
                <w:rFonts w:ascii="宋体" w:eastAsia="方正仿宋_GBK" w:hAnsi="宋体" w:cs="方正仿宋_GBK"/>
                <w:color w:val="000000"/>
                <w:kern w:val="0"/>
                <w:sz w:val="24"/>
                <w:szCs w:val="24"/>
              </w:rPr>
            </w:pPr>
            <w:r w:rsidRPr="007A24E7">
              <w:rPr>
                <w:rFonts w:ascii="宋体" w:eastAsia="方正仿宋_GBK" w:hAnsi="宋体" w:cs="方正仿宋_GBK" w:hint="eastAsia"/>
                <w:color w:val="000000"/>
                <w:kern w:val="0"/>
                <w:sz w:val="24"/>
                <w:szCs w:val="24"/>
              </w:rPr>
              <w:t>10</w:t>
            </w:r>
          </w:p>
        </w:tc>
        <w:tc>
          <w:tcPr>
            <w:tcW w:w="836" w:type="dxa"/>
            <w:tcBorders>
              <w:tl2br w:val="nil"/>
              <w:tr2bl w:val="nil"/>
            </w:tcBorders>
            <w:noWrap/>
            <w:vAlign w:val="center"/>
          </w:tcPr>
          <w:p w:rsidR="007A24E7" w:rsidRPr="007A24E7" w:rsidRDefault="007A24E7" w:rsidP="007A24E7">
            <w:pPr>
              <w:widowControl/>
              <w:spacing w:line="240" w:lineRule="exact"/>
              <w:rPr>
                <w:rFonts w:ascii="宋体" w:eastAsia="方正仿宋_GBK" w:hAnsi="宋体" w:cs="方正仿宋_GBK"/>
                <w:color w:val="000000"/>
                <w:kern w:val="0"/>
                <w:sz w:val="24"/>
                <w:szCs w:val="24"/>
              </w:rPr>
            </w:pPr>
          </w:p>
        </w:tc>
      </w:tr>
    </w:tbl>
    <w:p w:rsidR="002C2456" w:rsidRPr="007A24E7" w:rsidRDefault="002C2456" w:rsidP="007A24E7">
      <w:pPr>
        <w:pStyle w:val="a8"/>
        <w:tabs>
          <w:tab w:val="center" w:pos="4153"/>
          <w:tab w:val="left" w:pos="7275"/>
        </w:tabs>
        <w:spacing w:line="240" w:lineRule="atLeast"/>
        <w:ind w:firstLineChars="0" w:firstLine="0"/>
        <w:rPr>
          <w:rFonts w:ascii="宋体" w:eastAsia="方正仿宋_GBK" w:hAnsi="宋体" w:cs="方正仿宋_GBK"/>
          <w:color w:val="000000"/>
          <w:kern w:val="0"/>
          <w:szCs w:val="21"/>
        </w:rPr>
      </w:pPr>
    </w:p>
    <w:p w:rsidR="002C2456" w:rsidRDefault="00B66C29">
      <w:pPr>
        <w:pStyle w:val="a8"/>
        <w:numPr>
          <w:ilvl w:val="0"/>
          <w:numId w:val="6"/>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2C2456" w:rsidRDefault="00B66C2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2C2456" w:rsidRDefault="00B66C29">
      <w:pPr>
        <w:pStyle w:val="a8"/>
        <w:numPr>
          <w:ilvl w:val="0"/>
          <w:numId w:val="6"/>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2C2456" w:rsidRDefault="00B66C2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我单位对预算项目均完成年度绩效</w:t>
      </w:r>
      <w:r w:rsidR="001554B3">
        <w:rPr>
          <w:rFonts w:ascii="宋体" w:eastAsia="方正仿宋_GBK" w:hAnsi="宋体" w:cs="方正仿宋_GBK" w:hint="eastAsia"/>
          <w:kern w:val="0"/>
          <w:sz w:val="32"/>
          <w:szCs w:val="32"/>
        </w:rPr>
        <w:t>目标</w:t>
      </w:r>
      <w:r>
        <w:rPr>
          <w:rFonts w:ascii="宋体" w:eastAsia="方正仿宋_GBK" w:hAnsi="宋体" w:cs="方正仿宋_GBK" w:hint="eastAsia"/>
          <w:kern w:val="0"/>
          <w:sz w:val="32"/>
          <w:szCs w:val="32"/>
        </w:rPr>
        <w:t>自评。</w:t>
      </w:r>
    </w:p>
    <w:p w:rsidR="002C2456" w:rsidRDefault="00B66C29">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2C2456" w:rsidRDefault="00B66C2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2C2456" w:rsidRDefault="00B66C29">
      <w:pPr>
        <w:pStyle w:val="a8"/>
        <w:numPr>
          <w:ilvl w:val="0"/>
          <w:numId w:val="7"/>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2C2456" w:rsidRDefault="00B66C29">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部门应根据实际情况对专业名词进行解释，不得遗漏。</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（四）使用非财政拨款结余：指单位在当年的“财政拨款收入”、“事业收入”、“经营收入”、“其他收入”等不足以安</w:t>
      </w:r>
      <w:r>
        <w:rPr>
          <w:rFonts w:ascii="宋体" w:eastAsia="方正仿宋_GBK" w:hAnsi="宋体" w:cs="方正仿宋_GBK" w:hint="eastAsia"/>
          <w:sz w:val="32"/>
          <w:szCs w:val="32"/>
        </w:rPr>
        <w:lastRenderedPageBreak/>
        <w:t>排当年支出的情况下，使用以前年度积累的非财政拨款结余弥补本年度收支缺口的资金。</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（五）年初结转和结余：指单位上年结转本年使用的基本支出结转、项目支出结转和结余、经营结余。</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（六）结余分配：指单位按照国家有关规定，缴纳所得税、提取专用基金、转入非财政拨款结余等当年结余的分配情况。</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（七）年末结转和结余：指单位结转下年的基本支出结转、项目支出结转和结余、经营结余。</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（十二）工资福利支出（支出经济分类科目类级）：反映单位开支的在职职工和编制外长期聘用人员的各类劳动报酬，以及为上述人员缴纳的各项社会保险费等。</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（十三）商品和服务支出（支出经济分类科目类级）：反映单位购买商品和服务的支出（不包括用于购置固定资产的支出、战略性和应急储备支出）。</w:t>
      </w:r>
    </w:p>
    <w:p w:rsidR="002C2456" w:rsidRDefault="00B66C2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2C2456" w:rsidRDefault="00B66C29">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C2456" w:rsidRDefault="00B66C29">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2C2456" w:rsidRDefault="00B66C29">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2C2456" w:rsidRDefault="00B66C29">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w:t>
      </w:r>
      <w:r w:rsidR="00175856">
        <w:rPr>
          <w:rFonts w:ascii="宋体" w:eastAsia="方正仿宋_GBK" w:hAnsi="宋体" w:cs="方正仿宋_GBK" w:hint="eastAsia"/>
          <w:sz w:val="32"/>
          <w:szCs w:val="32"/>
        </w:rPr>
        <w:t>黄典</w:t>
      </w:r>
      <w:r w:rsidR="00175856">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sidR="00175856">
        <w:rPr>
          <w:rFonts w:ascii="宋体" w:eastAsia="方正仿宋_GBK" w:hAnsi="宋体" w:cs="方正仿宋_GBK" w:hint="eastAsia"/>
          <w:sz w:val="32"/>
          <w:szCs w:val="32"/>
        </w:rPr>
        <w:t>023-47529909</w:t>
      </w:r>
    </w:p>
    <w:sectPr w:rsidR="002C2456" w:rsidSect="002C2456">
      <w:footerReference w:type="even" r:id="rId7"/>
      <w:footerReference w:type="default" r:id="rId8"/>
      <w:pgSz w:w="11906" w:h="16838"/>
      <w:pgMar w:top="1587" w:right="1474" w:bottom="147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ED" w:rsidRDefault="00FB72ED" w:rsidP="002C2456">
      <w:r>
        <w:separator/>
      </w:r>
    </w:p>
  </w:endnote>
  <w:endnote w:type="continuationSeparator" w:id="1">
    <w:p w:rsidR="00FB72ED" w:rsidRDefault="00FB72ED" w:rsidP="002C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56" w:rsidRDefault="00B66C29">
    <w:pPr>
      <w:pStyle w:val="a4"/>
    </w:pPr>
    <w:r>
      <w:rPr>
        <w:sz w:val="28"/>
        <w:szCs w:val="28"/>
      </w:rPr>
      <w:t xml:space="preserve">— </w:t>
    </w:r>
    <w:r w:rsidR="00FC5454">
      <w:rPr>
        <w:sz w:val="28"/>
        <w:szCs w:val="28"/>
      </w:rPr>
      <w:fldChar w:fldCharType="begin"/>
    </w:r>
    <w:r>
      <w:rPr>
        <w:sz w:val="28"/>
        <w:szCs w:val="28"/>
      </w:rPr>
      <w:instrText>PAGE   \* MERGEFORMAT</w:instrText>
    </w:r>
    <w:r w:rsidR="00FC5454">
      <w:rPr>
        <w:sz w:val="28"/>
        <w:szCs w:val="28"/>
      </w:rPr>
      <w:fldChar w:fldCharType="separate"/>
    </w:r>
    <w:r w:rsidR="007A24E7" w:rsidRPr="007A24E7">
      <w:rPr>
        <w:noProof/>
        <w:sz w:val="28"/>
        <w:szCs w:val="28"/>
        <w:lang w:val="zh-CN"/>
      </w:rPr>
      <w:t>10</w:t>
    </w:r>
    <w:r w:rsidR="00FC5454">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56" w:rsidRDefault="00B66C29">
    <w:pPr>
      <w:pStyle w:val="a4"/>
      <w:jc w:val="right"/>
    </w:pPr>
    <w:r>
      <w:rPr>
        <w:sz w:val="28"/>
        <w:szCs w:val="28"/>
      </w:rPr>
      <w:t xml:space="preserve">— </w:t>
    </w:r>
    <w:r w:rsidR="00FC5454">
      <w:rPr>
        <w:sz w:val="28"/>
        <w:szCs w:val="28"/>
      </w:rPr>
      <w:fldChar w:fldCharType="begin"/>
    </w:r>
    <w:r>
      <w:rPr>
        <w:sz w:val="28"/>
        <w:szCs w:val="28"/>
      </w:rPr>
      <w:instrText>PAGE   \* MERGEFORMAT</w:instrText>
    </w:r>
    <w:r w:rsidR="00FC5454">
      <w:rPr>
        <w:sz w:val="28"/>
        <w:szCs w:val="28"/>
      </w:rPr>
      <w:fldChar w:fldCharType="separate"/>
    </w:r>
    <w:r w:rsidR="007A24E7" w:rsidRPr="007A24E7">
      <w:rPr>
        <w:noProof/>
        <w:sz w:val="28"/>
        <w:szCs w:val="28"/>
        <w:lang w:val="zh-CN"/>
      </w:rPr>
      <w:t>9</w:t>
    </w:r>
    <w:r w:rsidR="00FC5454">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ED" w:rsidRDefault="00FB72ED" w:rsidP="002C2456">
      <w:r>
        <w:separator/>
      </w:r>
    </w:p>
  </w:footnote>
  <w:footnote w:type="continuationSeparator" w:id="1">
    <w:p w:rsidR="00FB72ED" w:rsidRDefault="00FB72ED" w:rsidP="002C2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evenAndOddHeaders/>
  <w:drawingGridHorizontalSpacing w:val="21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E12"/>
    <w:rsid w:val="F3FD6B2F"/>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54B3"/>
    <w:rsid w:val="001570CA"/>
    <w:rsid w:val="001600A8"/>
    <w:rsid w:val="0016440F"/>
    <w:rsid w:val="00167113"/>
    <w:rsid w:val="00170AB6"/>
    <w:rsid w:val="001733C6"/>
    <w:rsid w:val="00175856"/>
    <w:rsid w:val="001760D0"/>
    <w:rsid w:val="00176E9E"/>
    <w:rsid w:val="00177282"/>
    <w:rsid w:val="0017754D"/>
    <w:rsid w:val="00177DDE"/>
    <w:rsid w:val="0018055E"/>
    <w:rsid w:val="0018417C"/>
    <w:rsid w:val="00186D29"/>
    <w:rsid w:val="00191922"/>
    <w:rsid w:val="00196B3B"/>
    <w:rsid w:val="001B4EBF"/>
    <w:rsid w:val="001C588C"/>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2456"/>
    <w:rsid w:val="002C3116"/>
    <w:rsid w:val="002C7F37"/>
    <w:rsid w:val="002D0665"/>
    <w:rsid w:val="002D284A"/>
    <w:rsid w:val="002D60ED"/>
    <w:rsid w:val="002E2E5B"/>
    <w:rsid w:val="002F0CF5"/>
    <w:rsid w:val="002F29D3"/>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604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24E7"/>
    <w:rsid w:val="007A3314"/>
    <w:rsid w:val="007A48F4"/>
    <w:rsid w:val="007A4C8D"/>
    <w:rsid w:val="007B0EC6"/>
    <w:rsid w:val="007B2F96"/>
    <w:rsid w:val="007C1250"/>
    <w:rsid w:val="007D00FC"/>
    <w:rsid w:val="007D0966"/>
    <w:rsid w:val="007D20F3"/>
    <w:rsid w:val="007D4338"/>
    <w:rsid w:val="007D6BFC"/>
    <w:rsid w:val="007D6CD1"/>
    <w:rsid w:val="007E29D5"/>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6C29"/>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B72ED"/>
    <w:rsid w:val="00FC4290"/>
    <w:rsid w:val="00FC5454"/>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6930D7E"/>
    <w:rsid w:val="06A765D7"/>
    <w:rsid w:val="07640956"/>
    <w:rsid w:val="07A34544"/>
    <w:rsid w:val="08190B33"/>
    <w:rsid w:val="088C1F29"/>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CFF53BF"/>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BB3B36"/>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7C1B46"/>
    <w:rsid w:val="19926875"/>
    <w:rsid w:val="1A297DDD"/>
    <w:rsid w:val="1A7919B9"/>
    <w:rsid w:val="1B1350D9"/>
    <w:rsid w:val="1B9A7C0E"/>
    <w:rsid w:val="1B9B203B"/>
    <w:rsid w:val="1B9B2757"/>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042E63"/>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895E70"/>
    <w:rsid w:val="2AE168E0"/>
    <w:rsid w:val="2B2F33CE"/>
    <w:rsid w:val="2B762790"/>
    <w:rsid w:val="2B920D55"/>
    <w:rsid w:val="2BAC2B14"/>
    <w:rsid w:val="2BC73FBA"/>
    <w:rsid w:val="2BFF60E5"/>
    <w:rsid w:val="2C0042E3"/>
    <w:rsid w:val="2C0D59AC"/>
    <w:rsid w:val="2C2D5D74"/>
    <w:rsid w:val="2C334F61"/>
    <w:rsid w:val="2C3D20DB"/>
    <w:rsid w:val="2C71221F"/>
    <w:rsid w:val="2C715093"/>
    <w:rsid w:val="2CF75D34"/>
    <w:rsid w:val="2D045C82"/>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864EB8"/>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B131C"/>
    <w:rsid w:val="34BF6C35"/>
    <w:rsid w:val="34F5635F"/>
    <w:rsid w:val="354811BC"/>
    <w:rsid w:val="35521A2B"/>
    <w:rsid w:val="355E472E"/>
    <w:rsid w:val="359E40E8"/>
    <w:rsid w:val="35B53FBD"/>
    <w:rsid w:val="35C22B6B"/>
    <w:rsid w:val="35EA737B"/>
    <w:rsid w:val="36706ADF"/>
    <w:rsid w:val="36833C5C"/>
    <w:rsid w:val="36A129F2"/>
    <w:rsid w:val="36B3095D"/>
    <w:rsid w:val="36D22597"/>
    <w:rsid w:val="371719A6"/>
    <w:rsid w:val="371E35B2"/>
    <w:rsid w:val="37564D03"/>
    <w:rsid w:val="37751EC2"/>
    <w:rsid w:val="37C77C1E"/>
    <w:rsid w:val="388010B8"/>
    <w:rsid w:val="388163D9"/>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CFC24D2"/>
    <w:rsid w:val="3D7312A1"/>
    <w:rsid w:val="3D8F2FFE"/>
    <w:rsid w:val="3D8F779B"/>
    <w:rsid w:val="3DB31849"/>
    <w:rsid w:val="3E15702B"/>
    <w:rsid w:val="3E247857"/>
    <w:rsid w:val="3E442382"/>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4ED72D0"/>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663B6F"/>
    <w:rsid w:val="5AA95942"/>
    <w:rsid w:val="5B85605C"/>
    <w:rsid w:val="5B9A1A90"/>
    <w:rsid w:val="5BEA616D"/>
    <w:rsid w:val="5C620610"/>
    <w:rsid w:val="5C7C27CC"/>
    <w:rsid w:val="5C8E6646"/>
    <w:rsid w:val="5CA1473C"/>
    <w:rsid w:val="5D743AF2"/>
    <w:rsid w:val="5D784DB7"/>
    <w:rsid w:val="5D804113"/>
    <w:rsid w:val="5D86298B"/>
    <w:rsid w:val="5D8F31C2"/>
    <w:rsid w:val="5DF574B1"/>
    <w:rsid w:val="5E01598A"/>
    <w:rsid w:val="5E0518AE"/>
    <w:rsid w:val="5E7319C7"/>
    <w:rsid w:val="5F3F14B1"/>
    <w:rsid w:val="5F4A1944"/>
    <w:rsid w:val="5F736A1C"/>
    <w:rsid w:val="5F7C1524"/>
    <w:rsid w:val="61431576"/>
    <w:rsid w:val="61B07674"/>
    <w:rsid w:val="61D16983"/>
    <w:rsid w:val="63B16DA6"/>
    <w:rsid w:val="64325BAA"/>
    <w:rsid w:val="644D348F"/>
    <w:rsid w:val="6474563E"/>
    <w:rsid w:val="64DD2E2F"/>
    <w:rsid w:val="650C79CC"/>
    <w:rsid w:val="651F0B40"/>
    <w:rsid w:val="654A3BA1"/>
    <w:rsid w:val="65720792"/>
    <w:rsid w:val="65727ED4"/>
    <w:rsid w:val="658D11B9"/>
    <w:rsid w:val="65A15618"/>
    <w:rsid w:val="660467A7"/>
    <w:rsid w:val="66471D7C"/>
    <w:rsid w:val="66636F9A"/>
    <w:rsid w:val="667D6EFB"/>
    <w:rsid w:val="66FD7813"/>
    <w:rsid w:val="67825ED9"/>
    <w:rsid w:val="67A0385B"/>
    <w:rsid w:val="67B37940"/>
    <w:rsid w:val="686C2A53"/>
    <w:rsid w:val="689C4BB9"/>
    <w:rsid w:val="68A245E2"/>
    <w:rsid w:val="68AD567F"/>
    <w:rsid w:val="68B0544A"/>
    <w:rsid w:val="690F3CAF"/>
    <w:rsid w:val="6A0C28CE"/>
    <w:rsid w:val="6A650A4D"/>
    <w:rsid w:val="6B7060C6"/>
    <w:rsid w:val="6C5F1FB2"/>
    <w:rsid w:val="6C60029B"/>
    <w:rsid w:val="6C927168"/>
    <w:rsid w:val="6D8C5247"/>
    <w:rsid w:val="6DD24A05"/>
    <w:rsid w:val="6E904287"/>
    <w:rsid w:val="6EA83056"/>
    <w:rsid w:val="6EA939B8"/>
    <w:rsid w:val="6EB55F1D"/>
    <w:rsid w:val="6EBE51FD"/>
    <w:rsid w:val="6EF364B6"/>
    <w:rsid w:val="6F235E7F"/>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0A521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C2456"/>
    <w:rPr>
      <w:sz w:val="18"/>
      <w:szCs w:val="18"/>
      <w:lang/>
    </w:rPr>
  </w:style>
  <w:style w:type="paragraph" w:styleId="a4">
    <w:name w:val="footer"/>
    <w:basedOn w:val="a"/>
    <w:link w:val="Char1"/>
    <w:uiPriority w:val="99"/>
    <w:unhideWhenUsed/>
    <w:qFormat/>
    <w:rsid w:val="002C2456"/>
    <w:pPr>
      <w:tabs>
        <w:tab w:val="center" w:pos="4153"/>
        <w:tab w:val="right" w:pos="8306"/>
      </w:tabs>
      <w:snapToGrid w:val="0"/>
      <w:jc w:val="left"/>
    </w:pPr>
    <w:rPr>
      <w:kern w:val="0"/>
      <w:sz w:val="18"/>
      <w:szCs w:val="18"/>
      <w:lang/>
    </w:rPr>
  </w:style>
  <w:style w:type="paragraph" w:styleId="a5">
    <w:name w:val="header"/>
    <w:basedOn w:val="a"/>
    <w:link w:val="Char0"/>
    <w:uiPriority w:val="99"/>
    <w:unhideWhenUsed/>
    <w:qFormat/>
    <w:rsid w:val="002C2456"/>
    <w:pPr>
      <w:pBdr>
        <w:bottom w:val="single" w:sz="6" w:space="1" w:color="auto"/>
      </w:pBdr>
      <w:tabs>
        <w:tab w:val="center" w:pos="4153"/>
        <w:tab w:val="right" w:pos="8306"/>
      </w:tabs>
      <w:snapToGrid w:val="0"/>
      <w:jc w:val="center"/>
    </w:pPr>
    <w:rPr>
      <w:kern w:val="0"/>
      <w:sz w:val="18"/>
      <w:szCs w:val="18"/>
      <w:lang/>
    </w:rPr>
  </w:style>
  <w:style w:type="paragraph" w:styleId="a6">
    <w:name w:val="Normal (Web)"/>
    <w:basedOn w:val="a"/>
    <w:qFormat/>
    <w:rsid w:val="002C2456"/>
    <w:pPr>
      <w:spacing w:before="100" w:beforeAutospacing="1" w:after="100" w:afterAutospacing="1"/>
      <w:jc w:val="left"/>
    </w:pPr>
    <w:rPr>
      <w:kern w:val="0"/>
      <w:sz w:val="24"/>
    </w:rPr>
  </w:style>
  <w:style w:type="character" w:styleId="a7">
    <w:name w:val="Strong"/>
    <w:basedOn w:val="a0"/>
    <w:qFormat/>
    <w:rsid w:val="002C2456"/>
    <w:rPr>
      <w:b/>
    </w:rPr>
  </w:style>
  <w:style w:type="paragraph" w:styleId="a8">
    <w:name w:val="List Paragraph"/>
    <w:basedOn w:val="a"/>
    <w:uiPriority w:val="34"/>
    <w:qFormat/>
    <w:rsid w:val="002C2456"/>
    <w:pPr>
      <w:ind w:firstLineChars="200" w:firstLine="420"/>
    </w:pPr>
  </w:style>
  <w:style w:type="paragraph" w:customStyle="1" w:styleId="Char2">
    <w:name w:val="普通(网站) Char"/>
    <w:basedOn w:val="a"/>
    <w:qFormat/>
    <w:rsid w:val="002C2456"/>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sid w:val="002C2456"/>
    <w:rPr>
      <w:sz w:val="18"/>
      <w:szCs w:val="18"/>
    </w:rPr>
  </w:style>
  <w:style w:type="character" w:customStyle="1" w:styleId="Char1">
    <w:name w:val="页脚 Char1"/>
    <w:link w:val="a4"/>
    <w:uiPriority w:val="99"/>
    <w:qFormat/>
    <w:rsid w:val="002C2456"/>
    <w:rPr>
      <w:sz w:val="18"/>
      <w:szCs w:val="18"/>
    </w:rPr>
  </w:style>
  <w:style w:type="character" w:customStyle="1" w:styleId="Char">
    <w:name w:val="批注框文本 Char"/>
    <w:link w:val="a3"/>
    <w:uiPriority w:val="99"/>
    <w:semiHidden/>
    <w:qFormat/>
    <w:rsid w:val="002C2456"/>
    <w:rPr>
      <w:kern w:val="2"/>
      <w:sz w:val="18"/>
      <w:szCs w:val="18"/>
    </w:rPr>
  </w:style>
  <w:style w:type="character" w:customStyle="1" w:styleId="23">
    <w:name w:val="23"/>
    <w:basedOn w:val="a0"/>
    <w:qFormat/>
    <w:rsid w:val="002C2456"/>
    <w:rPr>
      <w:rFonts w:ascii="Times New Roman" w:hAnsi="Times New Roman" w:cs="Times New Roman" w:hint="default"/>
      <w:b/>
    </w:rPr>
  </w:style>
  <w:style w:type="character" w:customStyle="1" w:styleId="Char3">
    <w:name w:val="页脚 Char"/>
    <w:uiPriority w:val="99"/>
    <w:qFormat/>
    <w:rsid w:val="002C245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849</Words>
  <Characters>4844</Characters>
  <Application>Microsoft Office Word</Application>
  <DocSecurity>0</DocSecurity>
  <Lines>40</Lines>
  <Paragraphs>11</Paragraphs>
  <ScaleCrop>false</ScaleCrop>
  <Company>微软中国</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李丹</cp:lastModifiedBy>
  <cp:revision>12</cp:revision>
  <cp:lastPrinted>2023-08-10T09:16:00Z</cp:lastPrinted>
  <dcterms:created xsi:type="dcterms:W3CDTF">2021-07-06T14:32:00Z</dcterms:created>
  <dcterms:modified xsi:type="dcterms:W3CDTF">2025-08-20T02:29:00Z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eyJoZGlkIjoiMjY2OWUyMGE4NWVhNWE2Njg4NzVlOWE2NjJiYzE0MWYiLCJ1c2VySWQiOiIzMTk4NzYyMTYifQ==</vt:lpwstr>
  </property>
</Properties>
</file>